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68E0">
      <w:pPr>
        <w:pStyle w:val="DefaultText"/>
        <w:jc w:val="center"/>
        <w:rPr>
          <w:rFonts w:ascii="Bookman Old Style" w:hAnsi="Bookman Old Style"/>
          <w:b/>
          <w:lang w:val="it-IT"/>
        </w:rPr>
      </w:pPr>
    </w:p>
    <w:p w:rsidR="00000000" w:rsidRDefault="00D068E0">
      <w:pPr>
        <w:pStyle w:val="DefaultText"/>
        <w:jc w:val="center"/>
        <w:rPr>
          <w:rFonts w:ascii="Bookman Old Style" w:hAnsi="Bookman Old Style"/>
          <w:b/>
          <w:lang w:val="it-IT"/>
        </w:rPr>
      </w:pPr>
    </w:p>
    <w:p w:rsidR="00000000" w:rsidRDefault="00D068E0">
      <w:pPr>
        <w:pStyle w:val="DefaultText"/>
        <w:jc w:val="center"/>
        <w:rPr>
          <w:rFonts w:ascii="Bookman Old Style" w:hAnsi="Bookman Old Style"/>
          <w:b/>
          <w:lang w:val="it-IT"/>
        </w:rPr>
      </w:pPr>
    </w:p>
    <w:p w:rsidR="00000000" w:rsidRDefault="00D068E0">
      <w:pPr>
        <w:pStyle w:val="DefaultText"/>
        <w:jc w:val="center"/>
        <w:rPr>
          <w:rFonts w:ascii="Bookman Old Style" w:hAnsi="Bookman Old Style"/>
          <w:b/>
          <w:lang w:val="it-IT"/>
        </w:rPr>
      </w:pPr>
      <w:r>
        <w:rPr>
          <w:rFonts w:ascii="Bookman Old Style" w:hAnsi="Bookman Old Style"/>
          <w:b/>
          <w:lang w:val="it-IT"/>
        </w:rPr>
        <w:t xml:space="preserve">DISCIPLINARE DI GARA </w:t>
      </w:r>
    </w:p>
    <w:p w:rsidR="00000000" w:rsidRDefault="00D068E0">
      <w:pPr>
        <w:pStyle w:val="DefaultText"/>
        <w:jc w:val="both"/>
        <w:rPr>
          <w:rFonts w:ascii="Bookman Old Style" w:hAnsi="Bookman Old Style"/>
          <w:b/>
          <w:lang w:val="it-IT"/>
        </w:rPr>
      </w:pPr>
    </w:p>
    <w:p w:rsidR="00000000" w:rsidRDefault="00D068E0">
      <w:pPr>
        <w:pStyle w:val="DefaultText"/>
        <w:jc w:val="both"/>
        <w:rPr>
          <w:rFonts w:ascii="Bookman Old Style" w:hAnsi="Bookman Old Style"/>
          <w:lang w:val="it-IT"/>
        </w:rPr>
      </w:pPr>
      <w:r>
        <w:rPr>
          <w:rFonts w:ascii="Bookman Old Style" w:hAnsi="Bookman Old Style"/>
          <w:b/>
          <w:lang w:val="it-IT"/>
        </w:rPr>
        <w:t>1. Modalità di presentazione dell’offerta</w:t>
      </w:r>
      <w:r>
        <w:rPr>
          <w:rFonts w:ascii="Bookman Old Style" w:hAnsi="Bookman Old Style"/>
          <w:lang w:val="it-IT"/>
        </w:rPr>
        <w:t>.</w:t>
      </w:r>
    </w:p>
    <w:p w:rsidR="00000000" w:rsidRDefault="00D068E0">
      <w:pPr>
        <w:pStyle w:val="DefaultText"/>
        <w:jc w:val="both"/>
        <w:rPr>
          <w:rFonts w:ascii="Bookman Old Style" w:hAnsi="Bookman Old Style"/>
          <w:lang w:val="it-IT"/>
        </w:rPr>
      </w:pPr>
      <w:r>
        <w:rPr>
          <w:rFonts w:ascii="Bookman Old Style" w:hAnsi="Bookman Old Style"/>
          <w:lang w:val="it-IT"/>
        </w:rPr>
        <w:t>Le offerte dovranno essere redatte in lingua italiana ed espresse in Euro.</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I documenti e le certificazioni, eventualmente redatti in lingua straniera ed inseriti nella busta n. 1 di segu</w:t>
      </w:r>
      <w:r>
        <w:rPr>
          <w:rFonts w:ascii="Bookman Old Style" w:hAnsi="Bookman Old Style"/>
          <w:lang w:val="it-IT"/>
        </w:rPr>
        <w:t>ito specificata, dovranno essere accompagnati da apposita traduzione giurata, pena l'esclusione.</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 xml:space="preserve">Per partecipare alla gara le ditte interessate dovranno far pervenire un plico chiuso e sigillato, siglato su tutti i lembi di chiusura , a mano o a mezzo di </w:t>
      </w:r>
      <w:r>
        <w:rPr>
          <w:rFonts w:ascii="Bookman Old Style" w:hAnsi="Bookman Old Style"/>
          <w:lang w:val="it-IT"/>
        </w:rPr>
        <w:t>raccomandata a.r. del Servizio Poste Italiane o altro Istituto/Agenzia di recapito presso l’Ufficio Protocollo della S.E.A.P. S.p.A. - Aeroporto civile di Bari Palese - 70057 BARI PALESE - entro e non oltre le ore 10.00 del 1.09.2005.</w:t>
      </w:r>
    </w:p>
    <w:p w:rsidR="00000000" w:rsidRDefault="00D068E0">
      <w:pPr>
        <w:pStyle w:val="DefaultText"/>
        <w:jc w:val="both"/>
        <w:rPr>
          <w:rFonts w:ascii="Bookman Old Style" w:hAnsi="Bookman Old Style"/>
          <w:lang w:val="it-IT"/>
        </w:rPr>
      </w:pPr>
      <w:r>
        <w:rPr>
          <w:rFonts w:ascii="Bookman Old Style" w:hAnsi="Bookman Old Style"/>
          <w:lang w:val="it-IT"/>
        </w:rPr>
        <w:t>Si precisa che il pli</w:t>
      </w:r>
      <w:r>
        <w:rPr>
          <w:rFonts w:ascii="Bookman Old Style" w:hAnsi="Bookman Old Style"/>
          <w:lang w:val="it-IT"/>
        </w:rPr>
        <w:t>co deve essere, a pena di esclusione, sigillato con ceralacca e che sul medesimo dovrà apporsi la seguente dicitura:“ Aeroporto Civile di Bari – Offerta per il Pubblico incanto relativo all'affidamento in sub concessione, di un'area da destinare al servizi</w:t>
      </w:r>
      <w:r>
        <w:rPr>
          <w:rFonts w:ascii="Bookman Old Style" w:hAnsi="Bookman Old Style"/>
          <w:lang w:val="it-IT"/>
        </w:rPr>
        <w:t>o di gestione di un bar tavola calda  e attività di vendita tabacchi, giornali, libri, lotterie, sita all'interno della aerostazione passeggeri di Grottaglie (TA), zona landside, comprensivo dell'allestimento dei locali ed impianti. Superficie a disposizio</w:t>
      </w:r>
      <w:r>
        <w:rPr>
          <w:rFonts w:ascii="Bookman Old Style" w:hAnsi="Bookman Old Style"/>
          <w:lang w:val="it-IT"/>
        </w:rPr>
        <w:t>ne circa mq 1.200.</w:t>
      </w:r>
    </w:p>
    <w:p w:rsidR="00000000" w:rsidRDefault="00D068E0">
      <w:pPr>
        <w:pStyle w:val="DefaultText"/>
        <w:jc w:val="both"/>
        <w:rPr>
          <w:rFonts w:ascii="Bookman Old Style" w:hAnsi="Bookman Old Style"/>
          <w:lang w:val="it-IT"/>
        </w:rPr>
      </w:pPr>
      <w:r>
        <w:rPr>
          <w:rFonts w:ascii="Bookman Old Style" w:hAnsi="Bookman Old Style"/>
          <w:lang w:val="it-IT"/>
        </w:rPr>
        <w:t>Sul plico dovrà essere indicato anche il nominativo della Ditta mittente.</w:t>
      </w:r>
    </w:p>
    <w:p w:rsidR="00000000" w:rsidRDefault="00D068E0">
      <w:pPr>
        <w:pStyle w:val="DefaultText"/>
        <w:jc w:val="both"/>
        <w:rPr>
          <w:rFonts w:ascii="Bookman Old Style" w:hAnsi="Bookman Old Style"/>
          <w:lang w:val="it-IT"/>
        </w:rPr>
      </w:pPr>
      <w:r>
        <w:rPr>
          <w:rFonts w:ascii="Bookman Old Style" w:hAnsi="Bookman Old Style"/>
          <w:lang w:val="it-IT"/>
        </w:rPr>
        <w:t>Detto plico dovrà contenere 3 buste, che dovranno essere sigillate con ceralacca e siglate sui lembi di chiusura.</w:t>
      </w:r>
    </w:p>
    <w:p w:rsidR="00000000" w:rsidRDefault="00D068E0">
      <w:pPr>
        <w:pStyle w:val="DefaultText"/>
        <w:jc w:val="both"/>
        <w:rPr>
          <w:rFonts w:ascii="Bookman Old Style" w:hAnsi="Bookman Old Style"/>
          <w:lang w:val="it-IT"/>
        </w:rPr>
      </w:pPr>
      <w:r>
        <w:rPr>
          <w:rFonts w:ascii="Bookman Old Style" w:hAnsi="Bookman Old Style"/>
          <w:lang w:val="it-IT"/>
        </w:rPr>
        <w:t xml:space="preserve">Sul frontespizio di ciascuna busta dovrà inoltre </w:t>
      </w:r>
      <w:r>
        <w:rPr>
          <w:rFonts w:ascii="Bookman Old Style" w:hAnsi="Bookman Old Style"/>
          <w:lang w:val="it-IT"/>
        </w:rPr>
        <w:t>essere chiaramente indicato, oltre al nominativo, recapito telefonico e fax dell’impresa mittente, il numero d’ordine ed il relativo contenuto e precisamente:</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 Busta n° 1 - DOCUMENTAZIONE AMMINISTRATIVA</w:t>
      </w:r>
    </w:p>
    <w:p w:rsidR="00000000" w:rsidRDefault="00D068E0">
      <w:pPr>
        <w:pStyle w:val="DefaultText"/>
        <w:jc w:val="both"/>
        <w:rPr>
          <w:rFonts w:ascii="Bookman Old Style" w:hAnsi="Bookman Old Style"/>
          <w:lang w:val="it-IT"/>
        </w:rPr>
      </w:pPr>
      <w:r>
        <w:rPr>
          <w:rFonts w:ascii="Bookman Old Style" w:hAnsi="Bookman Old Style"/>
          <w:lang w:val="it-IT"/>
        </w:rPr>
        <w:t>- Busta n° 2 - OFFERTA TECNICA</w:t>
      </w:r>
    </w:p>
    <w:p w:rsidR="00000000" w:rsidRDefault="00D068E0">
      <w:pPr>
        <w:pStyle w:val="DefaultText"/>
        <w:jc w:val="both"/>
        <w:rPr>
          <w:rFonts w:ascii="Bookman Old Style" w:hAnsi="Bookman Old Style"/>
          <w:lang w:val="it-IT"/>
        </w:rPr>
      </w:pPr>
      <w:r>
        <w:rPr>
          <w:rFonts w:ascii="Bookman Old Style" w:hAnsi="Bookman Old Style"/>
          <w:lang w:val="it-IT"/>
        </w:rPr>
        <w:t>- Busta n° 3 - OFFER</w:t>
      </w:r>
      <w:r>
        <w:rPr>
          <w:rFonts w:ascii="Bookman Old Style" w:hAnsi="Bookman Old Style"/>
          <w:lang w:val="it-IT"/>
        </w:rPr>
        <w:t>TA ECONOMICA</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 xml:space="preserve">Il recapito del plico rimane ad esclusivo rischio del mittente ove per qualsiasi motivo lo stesso non giunga a destinazione entro il suddetto termine di ricezione dlle offerte. </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Le tre buste dovranno contenere, a pena d’esclusione, quanto di</w:t>
      </w:r>
      <w:r>
        <w:rPr>
          <w:rFonts w:ascii="Bookman Old Style" w:hAnsi="Bookman Old Style"/>
          <w:lang w:val="it-IT"/>
        </w:rPr>
        <w:t xml:space="preserve"> seguito elencato:</w:t>
      </w:r>
    </w:p>
    <w:p w:rsidR="00000000" w:rsidRDefault="00D068E0">
      <w:pPr>
        <w:pStyle w:val="DefaultText"/>
        <w:jc w:val="both"/>
        <w:rPr>
          <w:rFonts w:ascii="Bookman Old Style" w:hAnsi="Bookman Old Style"/>
          <w:lang w:val="it-IT"/>
        </w:rPr>
      </w:pPr>
      <w:r>
        <w:rPr>
          <w:rFonts w:ascii="Bookman Old Style" w:hAnsi="Bookman Old Style"/>
          <w:b/>
          <w:u w:val="single"/>
          <w:lang w:val="it-IT"/>
        </w:rPr>
        <w:t>A) Busta n° 1 Documentazione amministrativa</w:t>
      </w:r>
    </w:p>
    <w:p w:rsidR="00000000" w:rsidRDefault="00D068E0">
      <w:pPr>
        <w:pStyle w:val="DefaultText"/>
        <w:jc w:val="both"/>
        <w:rPr>
          <w:rFonts w:ascii="Bookman Old Style" w:hAnsi="Bookman Old Style"/>
          <w:lang w:val="it-IT"/>
        </w:rPr>
      </w:pPr>
      <w:r>
        <w:rPr>
          <w:rFonts w:ascii="Bookman Old Style" w:hAnsi="Bookman Old Style"/>
          <w:lang w:val="it-IT"/>
        </w:rPr>
        <w:t>Nel rispetto delle modalità di chiusura sopra indicate, la busta dovrà contenere tutto quanto indicato ai punti III.2.1.1.; III.2.1.2.;III.2.1.3.; III.2.1.4. del bando di gara.</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 xml:space="preserve">I requisiti </w:t>
      </w:r>
      <w:r>
        <w:rPr>
          <w:rFonts w:ascii="Bookman Old Style" w:hAnsi="Bookman Old Style"/>
          <w:lang w:val="it-IT"/>
        </w:rPr>
        <w:t>di cui ai punti b1), b2) b3) dovranno essere dichiarati e posseduti per almeno il 40% dall'impresa capogruppo la restante percentuale è posseduta cumulativamente dalla mandataria o dalle altre imprese consorziate ciascuna nella misura minima del 10% di qua</w:t>
      </w:r>
      <w:r>
        <w:rPr>
          <w:rFonts w:ascii="Bookman Old Style" w:hAnsi="Bookman Old Style"/>
          <w:lang w:val="it-IT"/>
        </w:rPr>
        <w:t xml:space="preserve">nto richiesto all’intero raggruppamento. L’impresa mandataria in ogni caso possiede i requisiti in misura maggioritaria. </w:t>
      </w:r>
    </w:p>
    <w:p w:rsidR="00000000" w:rsidRDefault="00D068E0">
      <w:pPr>
        <w:pStyle w:val="DefaultText"/>
        <w:jc w:val="both"/>
        <w:rPr>
          <w:rFonts w:ascii="Bookman Old Style" w:hAnsi="Bookman Old Style"/>
          <w:lang w:val="it-IT"/>
        </w:rPr>
      </w:pPr>
    </w:p>
    <w:p w:rsidR="00000000" w:rsidRDefault="00D068E0">
      <w:pPr>
        <w:tabs>
          <w:tab w:val="left" w:pos="5386"/>
        </w:tabs>
        <w:spacing w:line="300" w:lineRule="atLeast"/>
        <w:ind w:right="31"/>
        <w:jc w:val="both"/>
        <w:rPr>
          <w:rFonts w:ascii="Bookman Old Style" w:hAnsi="Bookman Old Style"/>
          <w:b/>
          <w:sz w:val="24"/>
          <w:lang w:val="it-IT"/>
        </w:rPr>
      </w:pPr>
      <w:r>
        <w:rPr>
          <w:rFonts w:ascii="Bookman Old Style" w:hAnsi="Bookman Old Style"/>
          <w:b/>
          <w:sz w:val="24"/>
          <w:lang w:val="it-IT"/>
        </w:rPr>
        <w:t>Saranno escluse dalla gara le Imprese che avranno omesso anche una solo delle dichiarazioni prescritte e degli allegati indicati o pr</w:t>
      </w:r>
      <w:r>
        <w:rPr>
          <w:rFonts w:ascii="Bookman Old Style" w:hAnsi="Bookman Old Style"/>
          <w:b/>
          <w:sz w:val="24"/>
          <w:lang w:val="it-IT"/>
        </w:rPr>
        <w:t>esentato riserve in merito al loro contenuto.</w:t>
      </w:r>
    </w:p>
    <w:p w:rsidR="00000000" w:rsidRDefault="00D068E0">
      <w:pPr>
        <w:tabs>
          <w:tab w:val="left" w:pos="5386"/>
        </w:tabs>
        <w:spacing w:line="300" w:lineRule="atLeast"/>
        <w:ind w:right="31"/>
        <w:jc w:val="both"/>
        <w:rPr>
          <w:rFonts w:ascii="Bookman Old Style" w:hAnsi="Bookman Old Style"/>
          <w:sz w:val="24"/>
          <w:lang w:val="it-IT"/>
        </w:rPr>
      </w:pPr>
    </w:p>
    <w:p w:rsidR="00000000" w:rsidRDefault="00D068E0">
      <w:pPr>
        <w:tabs>
          <w:tab w:val="left" w:pos="5386"/>
        </w:tabs>
        <w:spacing w:line="300" w:lineRule="atLeast"/>
        <w:ind w:right="31"/>
        <w:jc w:val="both"/>
        <w:rPr>
          <w:rFonts w:ascii="Bookman Old Style" w:hAnsi="Bookman Old Style"/>
          <w:b/>
          <w:sz w:val="24"/>
          <w:lang w:val="it-IT"/>
        </w:rPr>
      </w:pPr>
      <w:r>
        <w:rPr>
          <w:rFonts w:ascii="Bookman Old Style" w:hAnsi="Bookman Old Style"/>
          <w:b/>
          <w:sz w:val="24"/>
          <w:lang w:val="it-IT"/>
        </w:rPr>
        <w:t>CONSORZI E GEIE</w:t>
      </w:r>
    </w:p>
    <w:p w:rsidR="00000000" w:rsidRDefault="00D068E0">
      <w:pPr>
        <w:tabs>
          <w:tab w:val="left" w:pos="5386"/>
        </w:tabs>
        <w:spacing w:line="300" w:lineRule="atLeast"/>
        <w:ind w:right="31"/>
        <w:jc w:val="both"/>
        <w:rPr>
          <w:rFonts w:ascii="Bookman Old Style" w:hAnsi="Bookman Old Style"/>
          <w:sz w:val="24"/>
          <w:lang w:val="it-IT"/>
        </w:rPr>
      </w:pPr>
      <w:r>
        <w:rPr>
          <w:rFonts w:ascii="Bookman Old Style" w:hAnsi="Bookman Old Style"/>
          <w:sz w:val="24"/>
          <w:lang w:val="it-IT"/>
        </w:rPr>
        <w:t>I consorzi di imprese non iscritte nel registro delle imprese ex art. 2602 c.c., costituite anche in forma di società ai sensi dell'art. 2615 - ter c.c., nonché i soggetti che abbiano stipulato</w:t>
      </w:r>
      <w:r>
        <w:rPr>
          <w:rFonts w:ascii="Bookman Old Style" w:hAnsi="Bookman Old Style"/>
          <w:sz w:val="24"/>
          <w:lang w:val="it-IT"/>
        </w:rPr>
        <w:t xml:space="preserve"> il contratto di gruppo europeo di interesse economico sono assimilati, ai fini della partecipazione alla presente gara, alle imprese riunite in associazione temporanea.</w:t>
      </w:r>
    </w:p>
    <w:p w:rsidR="00000000" w:rsidRDefault="00D068E0">
      <w:pPr>
        <w:tabs>
          <w:tab w:val="left" w:pos="5386"/>
        </w:tabs>
        <w:spacing w:line="300" w:lineRule="atLeast"/>
        <w:ind w:right="31"/>
        <w:jc w:val="both"/>
        <w:rPr>
          <w:rFonts w:ascii="Bookman Old Style" w:hAnsi="Bookman Old Style"/>
          <w:sz w:val="24"/>
          <w:lang w:val="it-IT"/>
        </w:rPr>
      </w:pPr>
    </w:p>
    <w:p w:rsidR="00000000" w:rsidRDefault="00D068E0">
      <w:pPr>
        <w:tabs>
          <w:tab w:val="left" w:pos="5386"/>
        </w:tabs>
        <w:spacing w:line="300" w:lineRule="atLeast"/>
        <w:ind w:right="31"/>
        <w:jc w:val="both"/>
        <w:rPr>
          <w:rFonts w:ascii="Bookman Old Style" w:hAnsi="Bookman Old Style"/>
          <w:b/>
          <w:sz w:val="24"/>
          <w:lang w:val="it-IT"/>
        </w:rPr>
      </w:pPr>
      <w:r>
        <w:rPr>
          <w:rFonts w:ascii="Bookman Old Style" w:hAnsi="Bookman Old Style"/>
          <w:b/>
          <w:sz w:val="24"/>
          <w:lang w:val="it-IT"/>
        </w:rPr>
        <w:t>CONCORRENTI STRANIERI.</w:t>
      </w:r>
    </w:p>
    <w:p w:rsidR="00000000" w:rsidRDefault="00D068E0">
      <w:pPr>
        <w:tabs>
          <w:tab w:val="left" w:pos="5386"/>
        </w:tabs>
        <w:spacing w:line="300" w:lineRule="atLeast"/>
        <w:ind w:right="31"/>
        <w:jc w:val="both"/>
        <w:rPr>
          <w:rFonts w:ascii="Bookman Old Style" w:hAnsi="Bookman Old Style"/>
          <w:sz w:val="24"/>
          <w:lang w:val="it-IT"/>
        </w:rPr>
      </w:pPr>
      <w:r>
        <w:rPr>
          <w:rFonts w:ascii="Bookman Old Style" w:hAnsi="Bookman Old Style"/>
          <w:sz w:val="24"/>
          <w:lang w:val="it-IT"/>
        </w:rPr>
        <w:t xml:space="preserve">Per le dichiarazioni e i documenti presentati dai concorrenti </w:t>
      </w:r>
      <w:r>
        <w:rPr>
          <w:rFonts w:ascii="Bookman Old Style" w:hAnsi="Bookman Old Style"/>
          <w:sz w:val="24"/>
          <w:lang w:val="it-IT"/>
        </w:rPr>
        <w:t xml:space="preserve">stranieri si osservano le disposizioni e le forme previste dall'art. 15 del D.lgs. 157/95.   </w:t>
      </w:r>
    </w:p>
    <w:p w:rsidR="00000000" w:rsidRDefault="00D068E0">
      <w:pPr>
        <w:pStyle w:val="Titolo7"/>
        <w:tabs>
          <w:tab w:val="clear" w:pos="425"/>
          <w:tab w:val="clear" w:pos="708"/>
          <w:tab w:val="clear" w:pos="5386"/>
        </w:tabs>
        <w:spacing w:line="300" w:lineRule="atLeast"/>
        <w:rPr>
          <w:rFonts w:ascii="Tahoma" w:hAnsi="Tahoma"/>
        </w:rPr>
      </w:pPr>
    </w:p>
    <w:p w:rsidR="00000000" w:rsidRDefault="00D068E0">
      <w:pPr>
        <w:tabs>
          <w:tab w:val="left" w:pos="5386"/>
        </w:tabs>
        <w:spacing w:line="300" w:lineRule="atLeast"/>
        <w:ind w:right="31"/>
        <w:jc w:val="both"/>
        <w:rPr>
          <w:rFonts w:ascii="Bookman Old Style" w:hAnsi="Bookman Old Style"/>
          <w:b/>
          <w:color w:val="FF0000"/>
          <w:sz w:val="24"/>
          <w:lang w:val="it-IT"/>
        </w:rPr>
      </w:pPr>
      <w:r>
        <w:rPr>
          <w:rFonts w:ascii="Bookman Old Style" w:hAnsi="Bookman Old Style"/>
          <w:b/>
          <w:sz w:val="24"/>
          <w:lang w:val="it-IT"/>
        </w:rPr>
        <w:t xml:space="preserve">AVVERTENZA PER IL SOPRALLUOGO </w:t>
      </w:r>
    </w:p>
    <w:p w:rsidR="00000000" w:rsidRDefault="00D068E0">
      <w:pPr>
        <w:pStyle w:val="Corpodeltesto"/>
        <w:tabs>
          <w:tab w:val="clear" w:pos="0"/>
          <w:tab w:val="clear" w:pos="425"/>
        </w:tabs>
        <w:spacing w:line="300" w:lineRule="atLeast"/>
        <w:rPr>
          <w:rFonts w:ascii="Bookman Old Style" w:hAnsi="Bookman Old Style"/>
        </w:rPr>
      </w:pPr>
      <w:r>
        <w:rPr>
          <w:rFonts w:ascii="Bookman Old Style" w:hAnsi="Bookman Old Style"/>
        </w:rPr>
        <w:t xml:space="preserve"> Per l’effettuazione dei sopralluoghi i partecipanti dovranno, a pena di esclusione dalla gara, inviare apposita richiesta via fax</w:t>
      </w:r>
      <w:r>
        <w:rPr>
          <w:rFonts w:ascii="Bookman Old Style" w:hAnsi="Bookman Old Style"/>
        </w:rPr>
        <w:t xml:space="preserve"> alla SEAP S.p.A., entro e non oltre il 26.08.2005, indicando per ogni impresa, massimo due nominativi con i relativi dati anagrafici e di residenza, nonché allegando fotocopia di un documento di identità in corso di validità. Qualora l’impresa indicasse s</w:t>
      </w:r>
      <w:r>
        <w:rPr>
          <w:rFonts w:ascii="Bookman Old Style" w:hAnsi="Bookman Old Style"/>
        </w:rPr>
        <w:t>oggetti non facenti parte del proprio organico, dovrà allegare, altresì, una scrittura privata dalla quale risulti il mandato conferito ai fini del sopralluogo. Dovrà, inoltre, essere indicato il recapito cui indirizzare la convocazione con i relativi nume</w:t>
      </w:r>
      <w:r>
        <w:rPr>
          <w:rFonts w:ascii="Bookman Old Style" w:hAnsi="Bookman Old Style"/>
        </w:rPr>
        <w:t>ri telefonici e di fax. L’Ente appaltante non prenderà in considerazione le richieste prive di anche uno solo dei suddetti dati o che perverranno oltre la data suindicata. Non verranno prese in considerazione offerte presentate da imprese che non abbiano e</w:t>
      </w:r>
      <w:r>
        <w:rPr>
          <w:rFonts w:ascii="Bookman Old Style" w:hAnsi="Bookman Old Style"/>
        </w:rPr>
        <w:t>ffettuati i prescritti sopralluoghi, documentati attraverso la produzione dell’attestato, rilasciato dalla SEAP.</w:t>
      </w:r>
    </w:p>
    <w:p w:rsidR="00000000" w:rsidRDefault="00D068E0">
      <w:pPr>
        <w:pStyle w:val="DefaultText"/>
        <w:jc w:val="both"/>
        <w:rPr>
          <w:rFonts w:ascii="Bookman Old Style" w:hAnsi="Bookman Old Style"/>
          <w:b/>
          <w:u w:val="single"/>
          <w:lang w:val="it-IT"/>
        </w:rPr>
      </w:pPr>
    </w:p>
    <w:p w:rsidR="00000000" w:rsidRDefault="00D068E0">
      <w:pPr>
        <w:pStyle w:val="DefaultText"/>
        <w:jc w:val="both"/>
        <w:rPr>
          <w:rFonts w:ascii="Bookman Old Style" w:hAnsi="Bookman Old Style"/>
          <w:u w:val="single"/>
          <w:lang w:val="it-IT"/>
        </w:rPr>
      </w:pPr>
      <w:r>
        <w:rPr>
          <w:rFonts w:ascii="Bookman Old Style" w:hAnsi="Bookman Old Style"/>
          <w:b/>
          <w:u w:val="single"/>
          <w:lang w:val="it-IT"/>
        </w:rPr>
        <w:t>Busta n° 2  Offerta tecnica</w:t>
      </w:r>
    </w:p>
    <w:p w:rsidR="00000000" w:rsidRDefault="00D068E0">
      <w:pPr>
        <w:pStyle w:val="DefaultText"/>
        <w:jc w:val="both"/>
        <w:rPr>
          <w:rFonts w:ascii="Bookman Old Style" w:hAnsi="Bookman Old Style"/>
          <w:lang w:val="it-IT"/>
        </w:rPr>
      </w:pPr>
      <w:r>
        <w:rPr>
          <w:rFonts w:ascii="Bookman Old Style" w:hAnsi="Bookman Old Style"/>
          <w:lang w:val="it-IT"/>
        </w:rPr>
        <w:t>Nel rispetto delle formalità di chiusura sopra indicate, la busta dovrà contenere la seguente documentazione:</w:t>
      </w:r>
    </w:p>
    <w:p w:rsidR="00000000" w:rsidRDefault="00D068E0" w:rsidP="00D068E0">
      <w:pPr>
        <w:pStyle w:val="DefaultText"/>
        <w:numPr>
          <w:ilvl w:val="0"/>
          <w:numId w:val="1"/>
        </w:numPr>
        <w:jc w:val="both"/>
        <w:rPr>
          <w:rFonts w:ascii="Bookman Old Style" w:hAnsi="Bookman Old Style"/>
          <w:lang w:val="it-IT"/>
        </w:rPr>
      </w:pPr>
      <w:r>
        <w:rPr>
          <w:rFonts w:ascii="Bookman Old Style" w:hAnsi="Bookman Old Style"/>
          <w:lang w:val="it-IT"/>
        </w:rPr>
        <w:t>docu</w:t>
      </w:r>
      <w:r>
        <w:rPr>
          <w:rFonts w:ascii="Bookman Old Style" w:hAnsi="Bookman Old Style"/>
          <w:lang w:val="it-IT"/>
        </w:rPr>
        <w:t xml:space="preserve">mentazione illustrativa del lay out dei locali, gli allestimenti e le vetrine, completa di tutti i dati, illustrazioni, disegni ed altri elementi utili </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rsidP="00D068E0">
      <w:pPr>
        <w:pStyle w:val="DefaultText"/>
        <w:numPr>
          <w:ilvl w:val="0"/>
          <w:numId w:val="1"/>
        </w:numPr>
        <w:jc w:val="both"/>
        <w:rPr>
          <w:rFonts w:ascii="Bookman Old Style" w:hAnsi="Bookman Old Style"/>
          <w:lang w:val="it-IT"/>
        </w:rPr>
      </w:pPr>
      <w:r>
        <w:rPr>
          <w:rFonts w:ascii="Bookman Old Style" w:hAnsi="Bookman Old Style"/>
          <w:lang w:val="it-IT"/>
        </w:rPr>
        <w:t>ai fini di una completa valutazione dei materiali e delle caratteristiche tecniche degli impianti e d</w:t>
      </w:r>
      <w:r>
        <w:rPr>
          <w:rFonts w:ascii="Bookman Old Style" w:hAnsi="Bookman Old Style"/>
          <w:lang w:val="it-IT"/>
        </w:rPr>
        <w:t>elle attrezzature;</w:t>
      </w:r>
    </w:p>
    <w:p w:rsidR="00000000" w:rsidRDefault="00D068E0" w:rsidP="00D068E0">
      <w:pPr>
        <w:pStyle w:val="DefaultText"/>
        <w:numPr>
          <w:ilvl w:val="0"/>
          <w:numId w:val="1"/>
        </w:numPr>
        <w:jc w:val="both"/>
        <w:rPr>
          <w:rFonts w:ascii="Bookman Old Style" w:hAnsi="Bookman Old Style"/>
          <w:lang w:val="it-IT"/>
        </w:rPr>
      </w:pPr>
      <w:r>
        <w:rPr>
          <w:rFonts w:ascii="Bookman Old Style" w:hAnsi="Bookman Old Style"/>
          <w:lang w:val="it-IT"/>
        </w:rPr>
        <w:t>indicazione del sistema organizzativo, tipologia servizi offerti e numero degli addetti che l'impresa utilizzerà per la realizzazione del servizio;</w:t>
      </w:r>
    </w:p>
    <w:p w:rsidR="00000000" w:rsidRDefault="00D068E0" w:rsidP="00D068E0">
      <w:pPr>
        <w:pStyle w:val="DefaultText"/>
        <w:numPr>
          <w:ilvl w:val="0"/>
          <w:numId w:val="1"/>
        </w:numPr>
        <w:jc w:val="both"/>
        <w:rPr>
          <w:rFonts w:ascii="Bookman Old Style" w:hAnsi="Bookman Old Style"/>
          <w:lang w:val="it-IT"/>
        </w:rPr>
      </w:pPr>
      <w:r>
        <w:rPr>
          <w:rFonts w:ascii="Bookman Old Style" w:hAnsi="Bookman Old Style"/>
          <w:lang w:val="it-IT"/>
        </w:rPr>
        <w:t>cronoprogramma operativo, comprensivo di tutte le fasi e attività che l'impresa si impegn</w:t>
      </w:r>
      <w:r>
        <w:rPr>
          <w:rFonts w:ascii="Bookman Old Style" w:hAnsi="Bookman Old Style"/>
          <w:lang w:val="it-IT"/>
        </w:rPr>
        <w:t>a ad espletare a far tempo dall'aggiudicazione della presente gara, per consentire l'avvio del servizio.</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Le suddette relazioni devono essere sottoscritte in ogni pagina dal legale rappresentante dell'impresa offerente o dal legale rappresentante dell'impr</w:t>
      </w:r>
      <w:r>
        <w:rPr>
          <w:rFonts w:ascii="Bookman Old Style" w:hAnsi="Bookman Old Style"/>
          <w:lang w:val="it-IT"/>
        </w:rPr>
        <w:t>esa mandataria, se trattasi di di raggruppamento d'imprese.</w:t>
      </w:r>
    </w:p>
    <w:p w:rsidR="00000000" w:rsidRDefault="00D068E0">
      <w:pPr>
        <w:pStyle w:val="DefaultText"/>
        <w:jc w:val="both"/>
        <w:rPr>
          <w:rFonts w:ascii="Bookman Old Style" w:hAnsi="Bookman Old Style"/>
          <w:b/>
          <w:u w:val="single"/>
          <w:lang w:val="it-IT"/>
        </w:rPr>
      </w:pPr>
    </w:p>
    <w:p w:rsidR="00000000" w:rsidRDefault="00D068E0">
      <w:pPr>
        <w:pStyle w:val="DefaultText"/>
        <w:jc w:val="both"/>
        <w:rPr>
          <w:rFonts w:ascii="Bookman Old Style" w:hAnsi="Bookman Old Style"/>
          <w:lang w:val="it-IT"/>
        </w:rPr>
      </w:pPr>
      <w:r>
        <w:rPr>
          <w:rFonts w:ascii="Bookman Old Style" w:hAnsi="Bookman Old Style"/>
          <w:b/>
          <w:u w:val="single"/>
          <w:lang w:val="it-IT"/>
        </w:rPr>
        <w:t>Busta n°3  Offerta economica</w:t>
      </w:r>
    </w:p>
    <w:p w:rsidR="00000000" w:rsidRDefault="00D068E0">
      <w:pPr>
        <w:pStyle w:val="DefaultText"/>
        <w:jc w:val="both"/>
        <w:rPr>
          <w:rFonts w:ascii="Bookman Old Style" w:hAnsi="Bookman Old Style"/>
          <w:lang w:val="it-IT"/>
        </w:rPr>
      </w:pPr>
      <w:r>
        <w:rPr>
          <w:rFonts w:ascii="Bookman Old Style" w:hAnsi="Bookman Old Style"/>
          <w:lang w:val="it-IT"/>
        </w:rPr>
        <w:t xml:space="preserve">Nel rispetto delle formalità di chiusura sopra indicate, la busta dovrà contenere  la propria migliore offerta economica sottoscritta dal legale rappresentante della </w:t>
      </w:r>
      <w:r>
        <w:rPr>
          <w:rFonts w:ascii="Bookman Old Style" w:hAnsi="Bookman Old Style"/>
          <w:lang w:val="it-IT"/>
        </w:rPr>
        <w:t>ditta con l’indicazione delle percentuali, espresse in cifre ed in lettere sulle royalties poste a base d’asta: 25% sul volume d’affari annuo al netto d'IVA per il servizio bar – tavola calda; al 2% per la vendita di libri; al 2% per la vendita dei giornal</w:t>
      </w:r>
      <w:r>
        <w:rPr>
          <w:rFonts w:ascii="Bookman Old Style" w:hAnsi="Bookman Old Style"/>
          <w:lang w:val="it-IT"/>
        </w:rPr>
        <w:t xml:space="preserve">i; al 2% per la vendita di schede telefoniche; al 2% per la vendita dei tabacchi; al 2% per la vendita di lotterie. Saranno dovuti, comunque, gli oneri per le utenze comuni (energia, riscaldamento, etc.), così come determinate dalla SEAP S.p.A. </w:t>
      </w:r>
    </w:p>
    <w:p w:rsidR="00000000" w:rsidRDefault="00D068E0">
      <w:pPr>
        <w:pStyle w:val="DefaultText"/>
        <w:jc w:val="both"/>
        <w:rPr>
          <w:rFonts w:ascii="Bookman Old Style" w:hAnsi="Bookman Old Style"/>
          <w:lang w:val="it-IT"/>
        </w:rPr>
      </w:pPr>
      <w:r>
        <w:rPr>
          <w:rFonts w:ascii="Bookman Old Style" w:hAnsi="Bookman Old Style"/>
          <w:lang w:val="it-IT"/>
        </w:rPr>
        <w:t>In caso di</w:t>
      </w:r>
      <w:r>
        <w:rPr>
          <w:rFonts w:ascii="Bookman Old Style" w:hAnsi="Bookman Old Style"/>
          <w:lang w:val="it-IT"/>
        </w:rPr>
        <w:t xml:space="preserve"> discordanza fra quanto indicato in cifre e in lettere, sarà ritenuta valida l'offerta più vantaggiosa per la stazione appaltante. </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b/>
          <w:lang w:val="it-IT"/>
        </w:rPr>
        <w:t>3. Aggiudicazione della gara</w:t>
      </w:r>
    </w:p>
    <w:p w:rsidR="00000000" w:rsidRDefault="00D068E0">
      <w:pPr>
        <w:pStyle w:val="DefaultText"/>
        <w:jc w:val="both"/>
        <w:rPr>
          <w:rFonts w:ascii="Bookman Old Style" w:hAnsi="Bookman Old Style"/>
          <w:lang w:val="it-IT"/>
        </w:rPr>
      </w:pPr>
      <w:r>
        <w:rPr>
          <w:rFonts w:ascii="Bookman Old Style" w:hAnsi="Bookman Old Style"/>
          <w:lang w:val="it-IT"/>
        </w:rPr>
        <w:t>L’apertura dei plichi  e della sola busta contenente la documentazione amministrativa (Busta n</w:t>
      </w:r>
      <w:r>
        <w:rPr>
          <w:rFonts w:ascii="Bookman Old Style" w:hAnsi="Bookman Old Style"/>
          <w:lang w:val="it-IT"/>
        </w:rPr>
        <w:t>.1), per l'ammissione o esclusione dei partecipanti, avverrà in seduta pubblica il 1.09.2005 alle ore 12.00 presso gli uffici della S.E.A.P. S.p.A. - Aeroporto Civile di Bari Palese.</w:t>
      </w:r>
    </w:p>
    <w:p w:rsidR="00000000" w:rsidRDefault="00D068E0">
      <w:pPr>
        <w:pStyle w:val="DefaultText"/>
        <w:jc w:val="both"/>
        <w:rPr>
          <w:rFonts w:ascii="Bookman Old Style" w:hAnsi="Bookman Old Style"/>
          <w:lang w:val="it-IT"/>
        </w:rPr>
      </w:pPr>
      <w:r>
        <w:rPr>
          <w:rFonts w:ascii="Bookman Old Style" w:hAnsi="Bookman Old Style"/>
          <w:lang w:val="it-IT"/>
        </w:rPr>
        <w:t>Potrà assistere un  solo rappresentante per Ditta, munito di procura o de</w:t>
      </w:r>
      <w:r>
        <w:rPr>
          <w:rFonts w:ascii="Bookman Old Style" w:hAnsi="Bookman Old Style"/>
          <w:lang w:val="it-IT"/>
        </w:rPr>
        <w:t xml:space="preserve">lega scritta. </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Successivamente la Commissione  si riunirà in seduta privata per la valutazione delle offerte tecniche ai fini dell’attribuzione dei punteggi. In particolare l’offerta tecnica prevede l’attribuzione di un punteggio totale di 40 punti così d</w:t>
      </w:r>
      <w:r>
        <w:rPr>
          <w:rFonts w:ascii="Bookman Old Style" w:hAnsi="Bookman Old Style"/>
          <w:lang w:val="it-IT"/>
        </w:rPr>
        <w:t>istribuiti:</w:t>
      </w:r>
    </w:p>
    <w:p w:rsidR="00000000" w:rsidRDefault="00D068E0" w:rsidP="00D068E0">
      <w:pPr>
        <w:pStyle w:val="DefaultText"/>
        <w:numPr>
          <w:ilvl w:val="0"/>
          <w:numId w:val="2"/>
        </w:numPr>
        <w:jc w:val="both"/>
        <w:rPr>
          <w:rFonts w:ascii="Bookman Old Style" w:hAnsi="Bookman Old Style"/>
          <w:lang w:val="it-IT"/>
        </w:rPr>
      </w:pPr>
      <w:r>
        <w:rPr>
          <w:rFonts w:ascii="Bookman Old Style" w:hAnsi="Bookman Old Style"/>
          <w:lang w:val="it-IT"/>
        </w:rPr>
        <w:t>caratteristiche del servizio offerto: 10 punti</w:t>
      </w:r>
    </w:p>
    <w:p w:rsidR="00000000" w:rsidRDefault="00D068E0" w:rsidP="00D068E0">
      <w:pPr>
        <w:pStyle w:val="DefaultText"/>
        <w:numPr>
          <w:ilvl w:val="0"/>
          <w:numId w:val="2"/>
        </w:numPr>
        <w:jc w:val="both"/>
        <w:rPr>
          <w:rFonts w:ascii="Bookman Old Style" w:hAnsi="Bookman Old Style"/>
          <w:lang w:val="it-IT"/>
        </w:rPr>
      </w:pPr>
      <w:r>
        <w:rPr>
          <w:rFonts w:ascii="Bookman Old Style" w:hAnsi="Bookman Old Style"/>
          <w:lang w:val="it-IT"/>
        </w:rPr>
        <w:t xml:space="preserve">caratteristiche dell'allestimento offerto : 20 punti </w:t>
      </w:r>
    </w:p>
    <w:p w:rsidR="00000000" w:rsidRDefault="00D068E0">
      <w:pPr>
        <w:pStyle w:val="DefaultText"/>
        <w:ind w:left="75"/>
        <w:jc w:val="both"/>
        <w:rPr>
          <w:rFonts w:ascii="Bookman Old Style" w:hAnsi="Bookman Old Style"/>
          <w:lang w:val="it-IT"/>
        </w:rPr>
      </w:pPr>
      <w:r>
        <w:rPr>
          <w:rFonts w:ascii="Bookman Old Style" w:hAnsi="Bookman Old Style"/>
          <w:lang w:val="it-IT"/>
        </w:rPr>
        <w:t>Tempo di attivazione: 20 punti</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L’aggiudicazione avverrà in seduta pubblica, con il criterio dell’offerta economicamente più vantaggiosa ai sen</w:t>
      </w:r>
      <w:r>
        <w:rPr>
          <w:rFonts w:ascii="Bookman Old Style" w:hAnsi="Bookman Old Style"/>
          <w:lang w:val="it-IT"/>
        </w:rPr>
        <w:t>si dell’art. 23 lett. b - D. Lgs. 157/95. Potrà assistere un solo rappresentante per ditta. Le ditte partecipanti saranno informate dalla SEAP, a mezzo telefax, del giorno e dell'ora di apertura delle offerte economiche.</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Per la valutazione dell’offerta</w:t>
      </w:r>
      <w:r>
        <w:rPr>
          <w:rFonts w:ascii="Bookman Old Style" w:hAnsi="Bookman Old Style"/>
          <w:lang w:val="it-IT"/>
        </w:rPr>
        <w:t xml:space="preserve"> economica, alla quale verrà attribuito il punteggio massimo di punti 60,  la Commissione individuerà il coefficiente da attribuire a ciascuna concorrente in base alla formula qui di seguito riportata:</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fr-FR"/>
        </w:rPr>
      </w:pPr>
      <w:r>
        <w:rPr>
          <w:rFonts w:ascii="Bookman Old Style" w:hAnsi="Bookman Old Style"/>
          <w:lang w:val="fr-FR"/>
        </w:rPr>
        <w:t>XA=___VA________X P</w:t>
      </w:r>
    </w:p>
    <w:p w:rsidR="00000000" w:rsidRDefault="00D068E0">
      <w:pPr>
        <w:pStyle w:val="DefaultText"/>
        <w:jc w:val="both"/>
        <w:rPr>
          <w:rFonts w:ascii="Bookman Old Style" w:hAnsi="Bookman Old Style"/>
          <w:lang w:val="fr-FR"/>
        </w:rPr>
      </w:pPr>
      <w:r>
        <w:rPr>
          <w:rFonts w:ascii="Bookman Old Style" w:hAnsi="Bookman Old Style"/>
          <w:lang w:val="fr-FR"/>
        </w:rPr>
        <w:t xml:space="preserve">           VMAX</w:t>
      </w:r>
    </w:p>
    <w:p w:rsidR="00000000" w:rsidRDefault="00D068E0">
      <w:pPr>
        <w:pStyle w:val="DefaultText"/>
        <w:jc w:val="both"/>
        <w:rPr>
          <w:rFonts w:ascii="Bookman Old Style" w:hAnsi="Bookman Old Style"/>
          <w:lang w:val="fr-FR"/>
        </w:rPr>
      </w:pPr>
    </w:p>
    <w:p w:rsidR="00000000" w:rsidRDefault="00D068E0">
      <w:pPr>
        <w:pStyle w:val="DefaultText"/>
        <w:jc w:val="both"/>
        <w:rPr>
          <w:rFonts w:ascii="Bookman Old Style" w:hAnsi="Bookman Old Style"/>
          <w:lang w:val="it-IT"/>
        </w:rPr>
      </w:pPr>
      <w:r>
        <w:rPr>
          <w:rFonts w:ascii="Bookman Old Style" w:hAnsi="Bookman Old Style"/>
          <w:lang w:val="it-IT"/>
        </w:rPr>
        <w:t>XA: punteggio d</w:t>
      </w:r>
      <w:r>
        <w:rPr>
          <w:rFonts w:ascii="Bookman Old Style" w:hAnsi="Bookman Old Style"/>
          <w:lang w:val="it-IT"/>
        </w:rPr>
        <w:t>a attribuire al concorrente A</w:t>
      </w:r>
    </w:p>
    <w:p w:rsidR="00000000" w:rsidRDefault="00D068E0">
      <w:pPr>
        <w:pStyle w:val="DefaultText"/>
        <w:jc w:val="both"/>
        <w:rPr>
          <w:rFonts w:ascii="Bookman Old Style" w:hAnsi="Bookman Old Style"/>
          <w:lang w:val="it-IT"/>
        </w:rPr>
      </w:pPr>
      <w:r>
        <w:rPr>
          <w:rFonts w:ascii="Bookman Old Style" w:hAnsi="Bookman Old Style"/>
          <w:lang w:val="it-IT"/>
        </w:rPr>
        <w:t>VA: offerta al rialzo sulle royalties a base d’asta proposta dal concorrente A</w:t>
      </w:r>
    </w:p>
    <w:p w:rsidR="00000000" w:rsidRDefault="00D068E0">
      <w:pPr>
        <w:pStyle w:val="DefaultText"/>
        <w:jc w:val="both"/>
        <w:rPr>
          <w:rFonts w:ascii="Bookman Old Style" w:hAnsi="Bookman Old Style"/>
          <w:lang w:val="it-IT"/>
        </w:rPr>
      </w:pPr>
      <w:r>
        <w:rPr>
          <w:rFonts w:ascii="Bookman Old Style" w:hAnsi="Bookman Old Style"/>
          <w:lang w:val="it-IT"/>
        </w:rPr>
        <w:t>VMAX: offerta al rialzo sulle royalties a base d’asta più alta.</w:t>
      </w:r>
    </w:p>
    <w:p w:rsidR="00000000" w:rsidRDefault="00D068E0">
      <w:pPr>
        <w:pStyle w:val="DefaultText"/>
        <w:jc w:val="both"/>
        <w:rPr>
          <w:rFonts w:ascii="Bookman Old Style" w:hAnsi="Bookman Old Style"/>
          <w:lang w:val="it-IT"/>
        </w:rPr>
      </w:pPr>
      <w:r>
        <w:rPr>
          <w:rFonts w:ascii="Bookman Old Style" w:hAnsi="Bookman Old Style"/>
          <w:lang w:val="it-IT"/>
        </w:rPr>
        <w:t>P: punteggio massimo per il parametro in oggetto.</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 xml:space="preserve">L’affidamento verrà disposto in </w:t>
      </w:r>
      <w:r>
        <w:rPr>
          <w:rFonts w:ascii="Bookman Old Style" w:hAnsi="Bookman Old Style"/>
          <w:lang w:val="it-IT"/>
        </w:rPr>
        <w:t>favore della ditta che avrà ottenuto il punteggio più alto.</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La Commissione giudicatrice provvederà a redigere la graduatoria di merito dei concorrenti ammessi alla gara.</w:t>
      </w:r>
    </w:p>
    <w:p w:rsidR="00000000" w:rsidRDefault="00D068E0">
      <w:pPr>
        <w:pStyle w:val="DefaultText"/>
        <w:jc w:val="both"/>
        <w:rPr>
          <w:rFonts w:ascii="Bookman Old Style" w:hAnsi="Bookman Old Style"/>
          <w:lang w:val="it-IT"/>
        </w:rPr>
      </w:pPr>
      <w:r>
        <w:rPr>
          <w:rFonts w:ascii="Bookman Old Style" w:hAnsi="Bookman Old Style"/>
          <w:lang w:val="it-IT"/>
        </w:rPr>
        <w:t>L' Impresa aggiudicataria dovrà presentare, entro e non oltre 7 gg. dalla data di com</w:t>
      </w:r>
      <w:r>
        <w:rPr>
          <w:rFonts w:ascii="Bookman Old Style" w:hAnsi="Bookman Old Style"/>
          <w:lang w:val="it-IT"/>
        </w:rPr>
        <w:t>unicazione dell'avvenuta aggiudicazione i seguenti certificati:</w:t>
      </w:r>
    </w:p>
    <w:p w:rsidR="00000000" w:rsidRDefault="00D068E0" w:rsidP="00D068E0">
      <w:pPr>
        <w:pStyle w:val="DefaultText"/>
        <w:numPr>
          <w:ilvl w:val="0"/>
          <w:numId w:val="5"/>
        </w:numPr>
        <w:jc w:val="both"/>
        <w:rPr>
          <w:rFonts w:ascii="Bookman Old Style" w:hAnsi="Bookman Old Style"/>
          <w:lang w:val="it-IT"/>
        </w:rPr>
      </w:pPr>
      <w:r>
        <w:rPr>
          <w:rFonts w:ascii="Bookman Old Style" w:hAnsi="Bookman Old Style"/>
          <w:lang w:val="it-IT"/>
        </w:rPr>
        <w:t>Idonea documentazione atta a comprovare il possesso dei requisiti richiesti dal Bando e per i quali l’Impresa ha prodotto autocertificazioni.</w:t>
      </w:r>
    </w:p>
    <w:p w:rsidR="00000000" w:rsidRDefault="00D068E0" w:rsidP="00D068E0">
      <w:pPr>
        <w:pStyle w:val="DefaultText"/>
        <w:numPr>
          <w:ilvl w:val="0"/>
          <w:numId w:val="5"/>
        </w:numPr>
        <w:jc w:val="both"/>
        <w:rPr>
          <w:rFonts w:ascii="Bookman Old Style" w:hAnsi="Bookman Old Style"/>
          <w:lang w:val="it-IT"/>
        </w:rPr>
      </w:pPr>
      <w:r>
        <w:rPr>
          <w:rFonts w:ascii="Bookman Old Style" w:hAnsi="Bookman Old Style"/>
          <w:lang w:val="it-IT"/>
        </w:rPr>
        <w:t>Copia dei certificati del Casellario Giudiziale, i</w:t>
      </w:r>
      <w:r>
        <w:rPr>
          <w:rFonts w:ascii="Bookman Old Style" w:hAnsi="Bookman Old Style"/>
          <w:lang w:val="it-IT"/>
        </w:rPr>
        <w:t>n corso di validità, afferente al titolare dell'Impresa in caso di ditta individuale, a tutti i componenti se trattasi di Società in nome collettivo, a tutti gli accomandatari se trattasi di Società in accomandita semplice, a tutti gli amministratori munit</w:t>
      </w:r>
      <w:r>
        <w:rPr>
          <w:rFonts w:ascii="Bookman Old Style" w:hAnsi="Bookman Old Style"/>
          <w:lang w:val="it-IT"/>
        </w:rPr>
        <w:t>i di potere di rappresentanza per gli altri tipi di Società.</w:t>
      </w:r>
    </w:p>
    <w:p w:rsidR="00000000" w:rsidRDefault="00D068E0" w:rsidP="00D068E0">
      <w:pPr>
        <w:pStyle w:val="DefaultText"/>
        <w:numPr>
          <w:ilvl w:val="0"/>
          <w:numId w:val="5"/>
        </w:numPr>
        <w:jc w:val="both"/>
        <w:rPr>
          <w:rFonts w:ascii="Bookman Old Style" w:hAnsi="Bookman Old Style"/>
          <w:lang w:val="it-IT"/>
        </w:rPr>
      </w:pPr>
      <w:r>
        <w:rPr>
          <w:rFonts w:ascii="Bookman Old Style" w:hAnsi="Bookman Old Style"/>
          <w:lang w:val="it-IT"/>
        </w:rPr>
        <w:t>Copia del Certificato di iscrizione nel Registro delle Imprese, rilasciato in data non anteriore a sei mesi, contenente:</w:t>
      </w:r>
    </w:p>
    <w:p w:rsidR="00000000" w:rsidRDefault="00D068E0">
      <w:pPr>
        <w:pStyle w:val="DefaultText"/>
        <w:jc w:val="both"/>
        <w:rPr>
          <w:rFonts w:ascii="Bookman Old Style" w:hAnsi="Bookman Old Style"/>
          <w:lang w:val="it-IT"/>
        </w:rPr>
      </w:pPr>
      <w:r>
        <w:rPr>
          <w:rFonts w:ascii="Bookman Old Style" w:hAnsi="Bookman Old Style"/>
          <w:lang w:val="it-IT"/>
        </w:rPr>
        <w:t>- il numero di iscrizione nel Registro;</w:t>
      </w:r>
    </w:p>
    <w:p w:rsidR="00000000" w:rsidRDefault="00D068E0">
      <w:pPr>
        <w:pStyle w:val="DefaultText"/>
        <w:jc w:val="both"/>
        <w:rPr>
          <w:rFonts w:ascii="Bookman Old Style" w:hAnsi="Bookman Old Style"/>
          <w:lang w:val="it-IT"/>
        </w:rPr>
      </w:pPr>
      <w:r>
        <w:rPr>
          <w:rFonts w:ascii="Bookman Old Style" w:hAnsi="Bookman Old Style"/>
          <w:lang w:val="it-IT"/>
        </w:rPr>
        <w:t>- il nominativo delle persone auto</w:t>
      </w:r>
      <w:r>
        <w:rPr>
          <w:rFonts w:ascii="Bookman Old Style" w:hAnsi="Bookman Old Style"/>
          <w:lang w:val="it-IT"/>
        </w:rPr>
        <w:t>rizzate a rappresentare legalmente l'impresa stessa,</w:t>
      </w:r>
    </w:p>
    <w:p w:rsidR="00000000" w:rsidRDefault="00D068E0">
      <w:pPr>
        <w:pStyle w:val="DefaultText"/>
        <w:jc w:val="both"/>
        <w:rPr>
          <w:rFonts w:ascii="Bookman Old Style" w:hAnsi="Bookman Old Style"/>
          <w:lang w:val="it-IT"/>
        </w:rPr>
      </w:pPr>
      <w:r>
        <w:rPr>
          <w:rFonts w:ascii="Bookman Old Style" w:hAnsi="Bookman Old Style"/>
          <w:lang w:val="it-IT"/>
        </w:rPr>
        <w:t>- l'attività esercitata dall'impresa;</w:t>
      </w:r>
    </w:p>
    <w:p w:rsidR="00000000" w:rsidRDefault="00D068E0">
      <w:pPr>
        <w:pStyle w:val="DefaultText"/>
        <w:jc w:val="both"/>
        <w:rPr>
          <w:rFonts w:ascii="Bookman Old Style" w:hAnsi="Bookman Old Style"/>
          <w:lang w:val="it-IT"/>
        </w:rPr>
      </w:pPr>
      <w:r>
        <w:rPr>
          <w:rFonts w:ascii="Bookman Old Style" w:hAnsi="Bookman Old Style"/>
          <w:lang w:val="it-IT"/>
        </w:rPr>
        <w:t>- l'attestazione con l'indicazione specifica, che l'impresa non si trova in stato di fallimento, di liquidazione, di concordato preventivo o di qualsiasi altra situa</w:t>
      </w:r>
      <w:r>
        <w:rPr>
          <w:rFonts w:ascii="Bookman Old Style" w:hAnsi="Bookman Old Style"/>
          <w:lang w:val="it-IT"/>
        </w:rPr>
        <w:t>zione equivalente, e che tali procedure non si siano verificate nell'ultimo quinquennio;</w:t>
      </w:r>
    </w:p>
    <w:p w:rsidR="00000000" w:rsidRDefault="00D068E0">
      <w:pPr>
        <w:pStyle w:val="DefaultText"/>
        <w:jc w:val="both"/>
        <w:rPr>
          <w:rFonts w:ascii="Bookman Old Style" w:hAnsi="Bookman Old Style"/>
          <w:lang w:val="it-IT"/>
        </w:rPr>
      </w:pPr>
      <w:r>
        <w:rPr>
          <w:rFonts w:ascii="Bookman Old Style" w:hAnsi="Bookman Old Style"/>
          <w:lang w:val="it-IT"/>
        </w:rPr>
        <w:t>- codice attività;</w:t>
      </w:r>
    </w:p>
    <w:p w:rsidR="00000000" w:rsidRDefault="00D068E0">
      <w:pPr>
        <w:pStyle w:val="DefaultText"/>
        <w:jc w:val="both"/>
        <w:rPr>
          <w:rFonts w:ascii="Bookman Old Style" w:hAnsi="Bookman Old Style"/>
          <w:lang w:val="it-IT"/>
        </w:rPr>
      </w:pPr>
      <w:r>
        <w:rPr>
          <w:rFonts w:ascii="Bookman Old Style" w:hAnsi="Bookman Old Style"/>
          <w:lang w:val="it-IT"/>
        </w:rPr>
        <w:t>- l'insussistenza delle cause di decadenza, divieto o sospensione di cui all'art. 10 della Legge 31 Maggio 1965 n. 575.</w:t>
      </w:r>
    </w:p>
    <w:p w:rsidR="00000000" w:rsidRDefault="00D068E0">
      <w:pPr>
        <w:pStyle w:val="Titolo2"/>
        <w:rPr>
          <w:rFonts w:ascii="Arial" w:hAnsi="Arial"/>
          <w:sz w:val="22"/>
        </w:rPr>
      </w:pPr>
    </w:p>
    <w:p w:rsidR="00000000" w:rsidRDefault="00D068E0"/>
    <w:p w:rsidR="00000000" w:rsidRDefault="00D068E0"/>
    <w:p w:rsidR="00000000" w:rsidRDefault="00D068E0" w:rsidP="00D068E0">
      <w:pPr>
        <w:pStyle w:val="DefaultText"/>
        <w:numPr>
          <w:ilvl w:val="0"/>
          <w:numId w:val="5"/>
        </w:numPr>
        <w:jc w:val="both"/>
        <w:rPr>
          <w:rFonts w:ascii="Bookman Old Style" w:hAnsi="Bookman Old Style"/>
          <w:lang w:val="it-IT"/>
        </w:rPr>
      </w:pPr>
      <w:r>
        <w:rPr>
          <w:rFonts w:ascii="Bookman Old Style" w:hAnsi="Bookman Old Style"/>
          <w:lang w:val="it-IT"/>
        </w:rPr>
        <w:lastRenderedPageBreak/>
        <w:t>Certificato di iscrizione</w:t>
      </w:r>
      <w:r>
        <w:rPr>
          <w:rFonts w:ascii="Bookman Old Style" w:hAnsi="Bookman Old Style"/>
          <w:lang w:val="it-IT"/>
        </w:rPr>
        <w:t xml:space="preserve"> al Registro Prefettizio se cooperativa del Lavoro, se Consorzio fra Cooperative; Certificato di iscrizione al Registro Prefettizio se cooperativa;</w:t>
      </w:r>
    </w:p>
    <w:p w:rsidR="00000000" w:rsidRDefault="00D068E0" w:rsidP="00D068E0">
      <w:pPr>
        <w:pStyle w:val="DefaultText"/>
        <w:numPr>
          <w:ilvl w:val="0"/>
          <w:numId w:val="5"/>
        </w:numPr>
        <w:jc w:val="both"/>
        <w:rPr>
          <w:rFonts w:ascii="Bookman Old Style" w:hAnsi="Bookman Old Style"/>
          <w:lang w:val="it-IT"/>
        </w:rPr>
      </w:pPr>
      <w:r>
        <w:rPr>
          <w:rFonts w:ascii="Bookman Old Style" w:hAnsi="Bookman Old Style"/>
          <w:lang w:val="it-IT"/>
        </w:rPr>
        <w:t>- Certificato di iscrizione nello Schedario Generale della cooperazione presso il Ministero del Lavoro, se C</w:t>
      </w:r>
      <w:r>
        <w:rPr>
          <w:rFonts w:ascii="Bookman Old Style" w:hAnsi="Bookman Old Style"/>
          <w:lang w:val="it-IT"/>
        </w:rPr>
        <w:t>onsorzio fra Cooperative;</w:t>
      </w:r>
    </w:p>
    <w:p w:rsidR="00000000" w:rsidRDefault="00D068E0" w:rsidP="00D068E0">
      <w:pPr>
        <w:pStyle w:val="DefaultText"/>
        <w:numPr>
          <w:ilvl w:val="0"/>
          <w:numId w:val="5"/>
        </w:numPr>
        <w:jc w:val="both"/>
        <w:rPr>
          <w:rFonts w:ascii="Bookman Old Style" w:hAnsi="Bookman Old Style"/>
          <w:lang w:val="it-IT"/>
        </w:rPr>
      </w:pPr>
      <w:r>
        <w:rPr>
          <w:rFonts w:ascii="Bookman Old Style" w:hAnsi="Bookman Old Style"/>
          <w:lang w:val="it-IT"/>
        </w:rPr>
        <w:t>- Copia degli atti o contratti costitutivi per i consorzi stabili, nonché copia dei verbali degli organi deliberativi dei consorziati da cui risulti la decisione degli stessi di operare in modo congiunto nel settore per un periodo</w:t>
      </w:r>
      <w:r>
        <w:rPr>
          <w:rFonts w:ascii="Bookman Old Style" w:hAnsi="Bookman Old Style"/>
          <w:lang w:val="it-IT"/>
        </w:rPr>
        <w:t xml:space="preserve"> non inferiore a cinque anni.</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Si precisa che prima dell’inizio delle attività la ditta dovrà essere munita di tutte le autorizzazioni prescritte ( Sanità, VV.F., licenze, etc.) ed il personale impiegato dovrà essere fornito del nulla osta aeroportuale.</w:t>
      </w:r>
    </w:p>
    <w:p w:rsidR="00000000" w:rsidRDefault="00D068E0">
      <w:pPr>
        <w:pStyle w:val="DefaultText"/>
        <w:jc w:val="both"/>
        <w:rPr>
          <w:rFonts w:ascii="Bookman Old Style" w:hAnsi="Bookman Old Style"/>
          <w:lang w:val="it-IT"/>
        </w:rPr>
      </w:pPr>
      <w:r>
        <w:rPr>
          <w:rFonts w:ascii="Bookman Old Style" w:hAnsi="Bookman Old Style"/>
          <w:lang w:val="it-IT"/>
        </w:rPr>
        <w:t>A</w:t>
      </w:r>
      <w:r>
        <w:rPr>
          <w:rFonts w:ascii="Bookman Old Style" w:hAnsi="Bookman Old Style"/>
          <w:lang w:val="it-IT"/>
        </w:rPr>
        <w:t>ll’inizio della sub concessione dovrà essere effettuato deposito cauzionale pari al 100% dell’importo presunto di contratto per la durata biennale, nonché stipulate assicurazioni RCT ed incendi, così come indicato nelle Condizioni generali di contratto.</w:t>
      </w:r>
    </w:p>
    <w:p w:rsidR="00000000" w:rsidRDefault="00D068E0">
      <w:pPr>
        <w:pStyle w:val="DefaultText"/>
        <w:jc w:val="both"/>
        <w:rPr>
          <w:rFonts w:ascii="Bookman Old Style" w:hAnsi="Bookman Old Style"/>
          <w:lang w:val="it-IT"/>
        </w:rPr>
      </w:pPr>
      <w:r>
        <w:rPr>
          <w:rFonts w:ascii="Bookman Old Style" w:hAnsi="Bookman Old Style"/>
          <w:lang w:val="it-IT"/>
        </w:rPr>
        <w:t xml:space="preserve"> </w:t>
      </w:r>
    </w:p>
    <w:p w:rsidR="00000000" w:rsidRDefault="00D068E0">
      <w:pPr>
        <w:pStyle w:val="DefaultText"/>
        <w:jc w:val="both"/>
        <w:rPr>
          <w:rFonts w:ascii="Bookman Old Style" w:hAnsi="Bookman Old Style"/>
          <w:lang w:val="it-IT"/>
        </w:rPr>
      </w:pPr>
      <w:r>
        <w:rPr>
          <w:rFonts w:ascii="Bookman Old Style" w:hAnsi="Bookman Old Style"/>
          <w:lang w:val="it-IT"/>
        </w:rPr>
        <w:t>Tutte le spese di contratto, bolli, imposta di registro, etc., sono a carico esclusivo dell'aggiudicatario senza diritto di rivalsa.</w:t>
      </w:r>
    </w:p>
    <w:p w:rsidR="00000000" w:rsidRDefault="00D068E0">
      <w:pPr>
        <w:pStyle w:val="DefaultText"/>
        <w:jc w:val="both"/>
        <w:rPr>
          <w:rFonts w:ascii="Bookman Old Style" w:hAnsi="Bookman Old Style"/>
          <w:lang w:val="it-IT"/>
        </w:rPr>
      </w:pPr>
      <w:r>
        <w:rPr>
          <w:rFonts w:ascii="Bookman Old Style" w:hAnsi="Bookman Old Style"/>
          <w:lang w:val="it-IT"/>
        </w:rPr>
        <w:t>La convenzione sarà stipulata a mezzo di scrittura privata, fiscalmente registrata ex  D.P.R. 131/86.</w:t>
      </w:r>
    </w:p>
    <w:p w:rsidR="00000000" w:rsidRDefault="00D068E0">
      <w:pPr>
        <w:pStyle w:val="DefaultText"/>
        <w:jc w:val="both"/>
        <w:rPr>
          <w:rFonts w:ascii="Bookman Old Style" w:hAnsi="Bookman Old Style"/>
          <w:lang w:val="it-IT"/>
        </w:rPr>
      </w:pPr>
      <w:r>
        <w:rPr>
          <w:rFonts w:ascii="Bookman Old Style" w:hAnsi="Bookman Old Style"/>
          <w:lang w:val="it-IT"/>
        </w:rPr>
        <w:t>Fermi restando i rela</w:t>
      </w:r>
      <w:r>
        <w:rPr>
          <w:rFonts w:ascii="Bookman Old Style" w:hAnsi="Bookman Old Style"/>
          <w:lang w:val="it-IT"/>
        </w:rPr>
        <w:t>tivi adempimenti la stazione appaltante, nel pubblico interesse, si riserva di non procedere alla stipulazione del contratto, ovvero di recedere dallo stesso in corso di esecuzione, ove venga a conoscenza, in sede di informative di cui all'art. 4 del D.Lgs</w:t>
      </w:r>
      <w:r>
        <w:rPr>
          <w:rFonts w:ascii="Bookman Old Style" w:hAnsi="Bookman Old Style"/>
          <w:lang w:val="it-IT"/>
        </w:rPr>
        <w:t xml:space="preserve">. 490/1994 di elementi e circostanze tali da comportare il venir meno del rapporto fiduciario.   </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Si precisa, infine, che prima dell’inizio delle attività la ditta dovrà essere munita di tutte le autorizzazioni prescritte ( Sanità, VV.F., licenze, etc.) e</w:t>
      </w:r>
      <w:r>
        <w:rPr>
          <w:rFonts w:ascii="Bookman Old Style" w:hAnsi="Bookman Old Style"/>
          <w:lang w:val="it-IT"/>
        </w:rPr>
        <w:t>d il personale impiegato dovrà essere fornito del nulla osta aeroportuale.</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4. Vincolo dell’offerta</w:t>
      </w:r>
    </w:p>
    <w:p w:rsidR="00000000" w:rsidRDefault="00D068E0">
      <w:pPr>
        <w:pStyle w:val="DefaultText"/>
        <w:jc w:val="both"/>
        <w:rPr>
          <w:rFonts w:ascii="Bookman Old Style" w:hAnsi="Bookman Old Style"/>
          <w:lang w:val="it-IT"/>
        </w:rPr>
      </w:pPr>
      <w:r>
        <w:rPr>
          <w:rFonts w:ascii="Bookman Old Style" w:hAnsi="Bookman Old Style"/>
          <w:lang w:val="it-IT"/>
        </w:rPr>
        <w:t>L’offerta si riterrà vincolante per 180 giorni dalla presentazione dell’offerta.</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5. Il responsabile del procedimento è il Dott. Patrizio Summa.</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6.Trattame</w:t>
      </w:r>
      <w:r>
        <w:rPr>
          <w:rFonts w:ascii="Bookman Old Style" w:hAnsi="Bookman Old Style"/>
          <w:lang w:val="it-IT"/>
        </w:rPr>
        <w:t>nto dei dati personali.</w:t>
      </w:r>
    </w:p>
    <w:p w:rsidR="00000000" w:rsidRDefault="00D068E0">
      <w:pPr>
        <w:pStyle w:val="DefaultText"/>
        <w:jc w:val="both"/>
        <w:rPr>
          <w:rFonts w:ascii="Bookman Old Style" w:hAnsi="Bookman Old Style"/>
          <w:lang w:val="it-IT"/>
        </w:rPr>
      </w:pPr>
      <w:r>
        <w:rPr>
          <w:rFonts w:ascii="Bookman Old Style" w:hAnsi="Bookman Old Style"/>
          <w:lang w:val="it-IT"/>
        </w:rPr>
        <w:t>Ai sensi e per gli effetti del D.lgs.  196/2003, in materia di “tutela delle persone e di altri soggetti rispetto al trattamento dei dati personali”, l’Ente Appaltante comunica che è sua intenzione procedere al</w:t>
      </w:r>
      <w:r>
        <w:rPr>
          <w:rFonts w:ascii="Tahoma" w:hAnsi="Tahoma"/>
        </w:rPr>
        <w:t xml:space="preserve"> </w:t>
      </w:r>
      <w:r>
        <w:rPr>
          <w:rFonts w:ascii="Bookman Old Style" w:hAnsi="Bookman Old Style"/>
          <w:lang w:val="it-IT"/>
        </w:rPr>
        <w:t xml:space="preserve">trattamento dei dati </w:t>
      </w:r>
      <w:r>
        <w:rPr>
          <w:rFonts w:ascii="Bookman Old Style" w:hAnsi="Bookman Old Style"/>
          <w:lang w:val="it-IT"/>
        </w:rPr>
        <w:t>personali forniti da ciascun concorrente con la presentazione dell’offerta.</w:t>
      </w:r>
    </w:p>
    <w:p w:rsidR="00000000" w:rsidRDefault="00D068E0">
      <w:pPr>
        <w:pStyle w:val="DefaultText"/>
        <w:jc w:val="both"/>
        <w:rPr>
          <w:rFonts w:ascii="Bookman Old Style" w:hAnsi="Bookman Old Style"/>
          <w:lang w:val="it-IT"/>
        </w:rPr>
      </w:pPr>
      <w:r>
        <w:rPr>
          <w:rFonts w:ascii="Bookman Old Style" w:hAnsi="Bookman Old Style"/>
          <w:lang w:val="it-IT"/>
        </w:rPr>
        <w:t>I suindicati dati saranno sottoposti a trattamento, automatizzato e non, esclusivamente per le finalità gestionali e amministrative inerenti la procedura di gara.</w:t>
      </w: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p>
    <w:p w:rsidR="00000000" w:rsidRDefault="00D068E0">
      <w:pPr>
        <w:pStyle w:val="DefaultText"/>
        <w:jc w:val="both"/>
        <w:rPr>
          <w:rFonts w:ascii="Bookman Old Style" w:hAnsi="Bookman Old Style"/>
          <w:lang w:val="it-IT"/>
        </w:rPr>
      </w:pPr>
      <w:r>
        <w:rPr>
          <w:rFonts w:ascii="Bookman Old Style" w:hAnsi="Bookman Old Style"/>
          <w:lang w:val="it-IT"/>
        </w:rPr>
        <w:t>Si rammenta c</w:t>
      </w:r>
      <w:r>
        <w:rPr>
          <w:rFonts w:ascii="Bookman Old Style" w:hAnsi="Bookman Old Style"/>
          <w:lang w:val="it-IT"/>
        </w:rPr>
        <w:t>he il conferimento di dati ha natura facoltativa, ma un eventuale rifiuto da parte del  concorrente non consentirà di prendere in esame l’offerta.</w:t>
      </w:r>
    </w:p>
    <w:p w:rsidR="00000000" w:rsidRDefault="00D068E0">
      <w:pPr>
        <w:pStyle w:val="DefaultText"/>
        <w:jc w:val="both"/>
        <w:rPr>
          <w:rFonts w:ascii="Bookman Old Style" w:hAnsi="Bookman Old Style"/>
          <w:lang w:val="it-IT"/>
        </w:rPr>
      </w:pPr>
      <w:r>
        <w:rPr>
          <w:rFonts w:ascii="Bookman Old Style" w:hAnsi="Bookman Old Style"/>
          <w:lang w:val="it-IT"/>
        </w:rPr>
        <w:t>I dati suddetti non saranno comunicati a terzi, fatta eccezione per le competenti pubbliche autorità, o sogge</w:t>
      </w:r>
      <w:r>
        <w:rPr>
          <w:rFonts w:ascii="Bookman Old Style" w:hAnsi="Bookman Old Style"/>
          <w:lang w:val="it-IT"/>
        </w:rPr>
        <w:t>tti privati in adempimenti ad obblighi di legge.</w:t>
      </w:r>
    </w:p>
    <w:p w:rsidR="00000000" w:rsidRDefault="00D068E0">
      <w:pPr>
        <w:pStyle w:val="DefaultText"/>
        <w:jc w:val="both"/>
        <w:rPr>
          <w:rFonts w:ascii="Bookman Old Style" w:hAnsi="Bookman Old Style"/>
          <w:lang w:val="it-IT"/>
        </w:rPr>
      </w:pPr>
      <w:r>
        <w:rPr>
          <w:rFonts w:ascii="Bookman Old Style" w:hAnsi="Bookman Old Style"/>
          <w:lang w:val="it-IT"/>
        </w:rPr>
        <w:t>Relativamente al trattamento dei dati, i concorrenti avranno la facoltà di esercitare tutti i diritti di cui all’art. 7 del D.lgs. 196/2003.</w:t>
      </w:r>
    </w:p>
    <w:p w:rsidR="00000000" w:rsidRDefault="00D068E0">
      <w:pPr>
        <w:pStyle w:val="DefaultText"/>
        <w:jc w:val="both"/>
        <w:rPr>
          <w:rFonts w:ascii="Bookman Old Style" w:hAnsi="Bookman Old Style"/>
          <w:lang w:val="it-IT"/>
        </w:rPr>
      </w:pPr>
      <w:r>
        <w:rPr>
          <w:rFonts w:ascii="Bookman Old Style" w:hAnsi="Bookman Old Style"/>
          <w:lang w:val="it-IT"/>
        </w:rPr>
        <w:t>Titolare del trattamento è SEAP – Società Esercizio Aeroporti Pugl</w:t>
      </w:r>
      <w:r>
        <w:rPr>
          <w:rFonts w:ascii="Bookman Old Style" w:hAnsi="Bookman Old Style"/>
          <w:lang w:val="it-IT"/>
        </w:rPr>
        <w:t>ia S.p.A. – con sede in Bari Aeroporto Civile in Bari - Palese (C.A.P. 70057 Bari).</w:t>
      </w:r>
    </w:p>
    <w:p w:rsidR="00000000" w:rsidRDefault="00D068E0">
      <w:pPr>
        <w:pStyle w:val="DefaultText"/>
        <w:jc w:val="both"/>
        <w:rPr>
          <w:rFonts w:ascii="Bookman Old Style" w:hAnsi="Bookman Old Style"/>
          <w:lang w:val="it-IT"/>
        </w:rPr>
      </w:pPr>
      <w:r>
        <w:rPr>
          <w:rFonts w:ascii="Bookman Old Style" w:hAnsi="Bookman Old Style"/>
          <w:lang w:val="it-IT"/>
        </w:rPr>
        <w:t xml:space="preserve">Responsabile del trattamento è il dott. Patrizio Summa. </w:t>
      </w:r>
    </w:p>
    <w:p w:rsidR="00000000" w:rsidRDefault="00D068E0">
      <w:pPr>
        <w:pStyle w:val="DefaultText"/>
        <w:jc w:val="center"/>
        <w:rPr>
          <w:b/>
        </w:rPr>
      </w:pPr>
    </w:p>
    <w:p w:rsidR="00000000" w:rsidRDefault="00D068E0">
      <w:pPr>
        <w:pStyle w:val="DefaultText"/>
        <w:jc w:val="center"/>
      </w:pPr>
      <w:r>
        <w:rPr>
          <w:b/>
        </w:rPr>
        <w:t>CONDIZIONI GENERALI DI CONTRATTO</w:t>
      </w:r>
    </w:p>
    <w:p w:rsidR="00000000" w:rsidRDefault="00D068E0">
      <w:pPr>
        <w:pStyle w:val="DefaultText"/>
        <w:jc w:val="center"/>
      </w:pPr>
    </w:p>
    <w:p w:rsidR="00000000" w:rsidRDefault="00D068E0">
      <w:pPr>
        <w:pStyle w:val="DefaultText"/>
        <w:jc w:val="both"/>
        <w:rPr>
          <w:rFonts w:ascii="Bookman Old Style" w:hAnsi="Bookman Old Style"/>
          <w:b/>
        </w:rPr>
      </w:pPr>
    </w:p>
    <w:p w:rsidR="00000000" w:rsidRDefault="00D068E0">
      <w:pPr>
        <w:pStyle w:val="DefaultText"/>
        <w:jc w:val="both"/>
        <w:rPr>
          <w:rFonts w:ascii="Bookman Old Style" w:hAnsi="Bookman Old Style"/>
        </w:rPr>
      </w:pPr>
      <w:r>
        <w:rPr>
          <w:rFonts w:ascii="Bookman Old Style" w:hAnsi="Bookman Old Style"/>
          <w:b/>
        </w:rPr>
        <w:t xml:space="preserve"> Art. 1 Premessa</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L’ENAC, con convenzione del 25 gennaio 2002, ha affidato alla</w:t>
      </w:r>
      <w:r>
        <w:rPr>
          <w:rFonts w:ascii="Bookman Old Style" w:hAnsi="Bookman Old Style"/>
        </w:rPr>
        <w:t xml:space="preserve"> società di gestione SEAP S.p.A., la concessione per la progettazione, sviluppo, realizzazione, adeguamento, gestione, manutenzione e uso degli impianti e delle infrastrutture aeroportuali, comprensivi dei beni demaniali, negli aeroporti di Bari, Brindisi,</w:t>
      </w:r>
      <w:r>
        <w:rPr>
          <w:rFonts w:ascii="Bookman Old Style" w:hAnsi="Bookman Old Style"/>
        </w:rPr>
        <w:t xml:space="preserve"> Foggia e Taranto; la predetta Convenzione è stata approvata con decreto ministeriale del 6.03.2003. Con D.D.G. n.12/03 la suddetta convenzione è stata estesa fino all’anno 2043.</w:t>
      </w:r>
    </w:p>
    <w:p w:rsidR="00000000" w:rsidRDefault="00D068E0">
      <w:pPr>
        <w:pStyle w:val="DefaultText"/>
        <w:jc w:val="both"/>
        <w:rPr>
          <w:rFonts w:ascii="Bookman Old Style" w:hAnsi="Bookman Old Style"/>
          <w:color w:val="FF0000"/>
        </w:rPr>
      </w:pPr>
      <w:r>
        <w:rPr>
          <w:rFonts w:ascii="Bookman Old Style" w:hAnsi="Bookman Old Style"/>
        </w:rPr>
        <w:t>In considerazione dell’attuale assenza del servizio di bar e ristorazione pre</w:t>
      </w:r>
      <w:r>
        <w:rPr>
          <w:rFonts w:ascii="Bookman Old Style" w:hAnsi="Bookman Old Style"/>
        </w:rPr>
        <w:t>sso l’aeroporto di Grottaglie e tenuto conto della imminente attivazione dei lavori di potenziamento delle infrastrutture di volo, finalizzate alla realizzazione di una piattaforma logistica aernautica, per i quali si prevede la presenza contemporanea gior</w:t>
      </w:r>
      <w:r>
        <w:rPr>
          <w:rFonts w:ascii="Bookman Old Style" w:hAnsi="Bookman Old Style"/>
        </w:rPr>
        <w:t>naliera di circa 500 addetti (operai, ingegneri, etc..), si rende necessario appaltare il servizio in oggetto.</w:t>
      </w:r>
      <w:r>
        <w:rPr>
          <w:rFonts w:ascii="Bookman Old Style" w:hAnsi="Bookman Old Style"/>
          <w:color w:val="FF0000"/>
        </w:rPr>
        <w:t xml:space="preserve"> </w:t>
      </w:r>
    </w:p>
    <w:p w:rsidR="00000000" w:rsidRDefault="00D068E0">
      <w:pPr>
        <w:pStyle w:val="DefaultText"/>
        <w:jc w:val="both"/>
        <w:rPr>
          <w:rFonts w:ascii="Bookman Old Style" w:hAnsi="Bookman Old Style"/>
        </w:rPr>
      </w:pPr>
      <w:r>
        <w:rPr>
          <w:rFonts w:ascii="Bookman Old Style" w:hAnsi="Bookman Old Style"/>
        </w:rPr>
        <w:t>Il presente capitolato contiene la disciplina regolamentare dei rapporti tra la Società S.E.A.P. S.p.A. e l’impresa aggiudicataria (denominata a</w:t>
      </w:r>
      <w:r>
        <w:rPr>
          <w:rFonts w:ascii="Bookman Old Style" w:hAnsi="Bookman Old Style"/>
        </w:rPr>
        <w:t>nche ditta sub concessionaria) in riferimento alla gara avente per oggetto la sub concessione di un’area sita all’interno della aerostazione di Grottaglie per lo svolgimento del servizio bar – tavola calda, vendita tabacchi, giornali, libri, lotterie.</w:t>
      </w:r>
    </w:p>
    <w:p w:rsidR="00000000" w:rsidRDefault="00D068E0">
      <w:pPr>
        <w:pStyle w:val="DefaultText"/>
        <w:jc w:val="both"/>
        <w:rPr>
          <w:rFonts w:ascii="Bookman Old Style" w:hAnsi="Bookman Old Style"/>
          <w:b/>
          <w:color w:val="FF0000"/>
        </w:rPr>
      </w:pPr>
      <w:r>
        <w:rPr>
          <w:rFonts w:ascii="Bookman Old Style" w:hAnsi="Bookman Old Style"/>
          <w:b/>
        </w:rPr>
        <w:t>Art.</w:t>
      </w:r>
      <w:r>
        <w:rPr>
          <w:rFonts w:ascii="Bookman Old Style" w:hAnsi="Bookman Old Style"/>
          <w:b/>
        </w:rPr>
        <w:t xml:space="preserve"> 2 Oggetto</w:t>
      </w:r>
    </w:p>
    <w:p w:rsidR="00000000" w:rsidRDefault="00D068E0">
      <w:pPr>
        <w:pStyle w:val="DefaultText"/>
        <w:jc w:val="both"/>
        <w:rPr>
          <w:rFonts w:ascii="Bookman Old Style" w:hAnsi="Bookman Old Style"/>
        </w:rPr>
      </w:pPr>
      <w:r>
        <w:rPr>
          <w:rFonts w:ascii="Bookman Old Style" w:hAnsi="Bookman Old Style"/>
        </w:rPr>
        <w:t xml:space="preserve">Costituisce oggetto del presente Capitolato la gestione, in regime di sub concessione, di di un'area di complessivi mq. 1.200 circa per lo svolgimento del servizio del bar – tavola calda e attività di vendita libri, giornali, tabacchi, lotterie </w:t>
      </w:r>
      <w:r>
        <w:rPr>
          <w:rFonts w:ascii="Bookman Old Style" w:hAnsi="Bookman Old Style"/>
        </w:rPr>
        <w:t>presso l’aerostazione di Grottaglie, TA.</w:t>
      </w:r>
    </w:p>
    <w:p w:rsidR="00000000" w:rsidRDefault="00D068E0">
      <w:pPr>
        <w:pStyle w:val="DefaultText"/>
        <w:jc w:val="both"/>
        <w:rPr>
          <w:rFonts w:ascii="Bookman Old Style" w:hAnsi="Bookman Old Style"/>
        </w:rPr>
      </w:pPr>
      <w:r>
        <w:rPr>
          <w:rFonts w:ascii="Bookman Old Style" w:hAnsi="Bookman Old Style"/>
        </w:rPr>
        <w:t>La durata della sub concessione è fissata in anni 2 (cinque) a far data dall’attivazione del servizio, che dovrà avvenire inderogabilmente entro e non oltre 30 giorni dal verbale di consegna delle aree o nel termine</w:t>
      </w:r>
      <w:r>
        <w:rPr>
          <w:rFonts w:ascii="Bookman Old Style" w:hAnsi="Bookman Old Style"/>
        </w:rPr>
        <w:t xml:space="preserve"> più breve risultante dall’offerta dell’aggiudicatario, con possibilità di rinnovo, ove ne </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 xml:space="preserve">ricorrano i presupposti, e comunque fino all’espletamento e conclusione del nuovo procedimento di gara. </w:t>
      </w:r>
    </w:p>
    <w:p w:rsidR="00000000" w:rsidRDefault="00D068E0">
      <w:pPr>
        <w:pStyle w:val="DefaultText"/>
        <w:jc w:val="both"/>
        <w:rPr>
          <w:rFonts w:ascii="Bookman Old Style" w:hAnsi="Bookman Old Style"/>
          <w:b/>
        </w:rPr>
      </w:pPr>
      <w:r>
        <w:rPr>
          <w:rFonts w:ascii="Bookman Old Style" w:hAnsi="Bookman Old Style"/>
          <w:b/>
        </w:rPr>
        <w:t>Art. 3 Gestione degli impianti e delle attrezzature</w:t>
      </w:r>
    </w:p>
    <w:p w:rsidR="00000000" w:rsidRDefault="00D068E0">
      <w:pPr>
        <w:pStyle w:val="Corpodeltesto"/>
        <w:rPr>
          <w:rFonts w:ascii="Bookman Old Style" w:hAnsi="Bookman Old Style"/>
          <w:lang w:val="en-US"/>
        </w:rPr>
      </w:pPr>
      <w:r>
        <w:rPr>
          <w:rFonts w:ascii="Bookman Old Style" w:hAnsi="Bookman Old Style"/>
          <w:lang w:val="en-US"/>
        </w:rPr>
        <w:t>La di</w:t>
      </w:r>
      <w:r>
        <w:rPr>
          <w:rFonts w:ascii="Bookman Old Style" w:hAnsi="Bookman Old Style"/>
          <w:lang w:val="en-US"/>
        </w:rPr>
        <w:t>tta sub concessionaria dovrà provvedere all’allestimento dei locali, ivi compresa la realizzazione delle opere civili di finitura interna, , opere impiantistiche, conformi alle normative sulla sicurezza e prevenzione incendi (impianti elettrici e di terra,</w:t>
      </w:r>
      <w:r>
        <w:rPr>
          <w:rFonts w:ascii="Bookman Old Style" w:hAnsi="Bookman Old Style"/>
          <w:lang w:val="en-US"/>
        </w:rPr>
        <w:t xml:space="preserve"> idrici e fognari, impianti telefonici e dati, diffusione sonora, di climatizzazione, ,ventilazione, aspirazione fumi, antincendio), alla gestione e manutenzione degli impianti e delle attrezzature ( a titolo esemplificativo: banconi, arredi,  vetrine etc.</w:t>
      </w:r>
      <w:r>
        <w:rPr>
          <w:rFonts w:ascii="Bookman Old Style" w:hAnsi="Bookman Old Style"/>
          <w:lang w:val="en-US"/>
        </w:rPr>
        <w:t>).</w:t>
      </w:r>
    </w:p>
    <w:p w:rsidR="00000000" w:rsidRDefault="00D068E0">
      <w:pPr>
        <w:pStyle w:val="Corpodeltesto"/>
        <w:rPr>
          <w:rFonts w:ascii="Bookman Old Style" w:hAnsi="Bookman Old Style"/>
          <w:lang w:val="en-US"/>
        </w:rPr>
      </w:pPr>
      <w:r>
        <w:rPr>
          <w:rFonts w:ascii="Bookman Old Style" w:hAnsi="Bookman Old Style"/>
          <w:lang w:val="en-US"/>
        </w:rPr>
        <w:t>Le lavorazioni dovranno avvenire previa presentazione dei seguenti documenti:</w:t>
      </w:r>
    </w:p>
    <w:p w:rsidR="00000000" w:rsidRDefault="00D068E0" w:rsidP="00D068E0">
      <w:pPr>
        <w:pStyle w:val="Corpodeltesto"/>
        <w:numPr>
          <w:ilvl w:val="0"/>
          <w:numId w:val="4"/>
        </w:numPr>
        <w:rPr>
          <w:rFonts w:ascii="Bookman Old Style" w:hAnsi="Bookman Old Style"/>
          <w:lang w:val="en-US"/>
        </w:rPr>
      </w:pPr>
      <w:r>
        <w:rPr>
          <w:rFonts w:ascii="Bookman Old Style" w:hAnsi="Bookman Old Style"/>
          <w:lang w:val="en-US"/>
        </w:rPr>
        <w:t>POS;</w:t>
      </w:r>
    </w:p>
    <w:p w:rsidR="00000000" w:rsidRDefault="00D068E0" w:rsidP="00D068E0">
      <w:pPr>
        <w:pStyle w:val="Corpodeltesto"/>
        <w:numPr>
          <w:ilvl w:val="0"/>
          <w:numId w:val="4"/>
        </w:numPr>
        <w:rPr>
          <w:rFonts w:ascii="Bookman Old Style" w:hAnsi="Bookman Old Style"/>
          <w:lang w:val="en-US"/>
        </w:rPr>
      </w:pPr>
      <w:r>
        <w:rPr>
          <w:rFonts w:ascii="Bookman Old Style" w:hAnsi="Bookman Old Style"/>
          <w:lang w:val="en-US"/>
        </w:rPr>
        <w:t>elenco del personale e dei mezzi;</w:t>
      </w:r>
    </w:p>
    <w:p w:rsidR="00000000" w:rsidRDefault="00D068E0" w:rsidP="00D068E0">
      <w:pPr>
        <w:pStyle w:val="Corpodeltesto"/>
        <w:numPr>
          <w:ilvl w:val="0"/>
          <w:numId w:val="4"/>
        </w:numPr>
        <w:rPr>
          <w:rFonts w:ascii="Bookman Old Style" w:hAnsi="Bookman Old Style"/>
          <w:lang w:val="en-US"/>
        </w:rPr>
      </w:pPr>
      <w:r>
        <w:rPr>
          <w:rFonts w:ascii="Bookman Old Style" w:hAnsi="Bookman Old Style"/>
          <w:lang w:val="en-US"/>
        </w:rPr>
        <w:t>elenco delle apparecchiature, comprensive dei certificati di omologazione a marchio CE.</w:t>
      </w:r>
    </w:p>
    <w:p w:rsidR="00000000" w:rsidRDefault="00D068E0">
      <w:pPr>
        <w:pStyle w:val="Corpodeltesto"/>
        <w:rPr>
          <w:rFonts w:ascii="Bookman Old Style" w:hAnsi="Bookman Old Style"/>
          <w:lang w:val="en-US"/>
        </w:rPr>
      </w:pPr>
      <w:r>
        <w:rPr>
          <w:rFonts w:ascii="Bookman Old Style" w:hAnsi="Bookman Old Style"/>
          <w:lang w:val="en-US"/>
        </w:rPr>
        <w:t>I locali e le aree saranno allestiti in conformi</w:t>
      </w:r>
      <w:r>
        <w:rPr>
          <w:rFonts w:ascii="Bookman Old Style" w:hAnsi="Bookman Old Style"/>
          <w:lang w:val="en-US"/>
        </w:rPr>
        <w:t>tà al progetto presentato in sede di offerta ed approvato da S.E.A.P. S.p.A. e dalla DCA competente.</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Tali impianti ed attrezzature rimangono di proprietà della ditta sub concessionaria e dovranno essere rimossi alla scadenza del contratto, salvo diverso a</w:t>
      </w:r>
      <w:r>
        <w:rPr>
          <w:rFonts w:ascii="Bookman Old Style" w:hAnsi="Bookman Old Style"/>
        </w:rPr>
        <w:t>ccordo delle parti.</w:t>
      </w:r>
    </w:p>
    <w:p w:rsidR="00000000" w:rsidRDefault="00D068E0">
      <w:pPr>
        <w:pStyle w:val="DefaultText"/>
        <w:jc w:val="both"/>
        <w:rPr>
          <w:rFonts w:ascii="Bookman Old Style" w:hAnsi="Bookman Old Style"/>
          <w:b/>
        </w:rPr>
      </w:pPr>
      <w:r>
        <w:rPr>
          <w:rFonts w:ascii="Bookman Old Style" w:hAnsi="Bookman Old Style"/>
          <w:b/>
        </w:rPr>
        <w:t>Art. 4 Obblighi ed oneri della ditta sub concessionaria</w:t>
      </w:r>
    </w:p>
    <w:p w:rsidR="00000000" w:rsidRDefault="00D068E0">
      <w:pPr>
        <w:pStyle w:val="DefaultText"/>
        <w:jc w:val="both"/>
        <w:rPr>
          <w:rFonts w:ascii="Bookman Old Style" w:hAnsi="Bookman Old Style"/>
        </w:rPr>
      </w:pPr>
      <w:r>
        <w:rPr>
          <w:rFonts w:ascii="Bookman Old Style" w:hAnsi="Bookman Old Style"/>
        </w:rPr>
        <w:t>Oltre al pagamento del corrispettivo, sono a carico della subconcessionaria:</w:t>
      </w:r>
    </w:p>
    <w:p w:rsidR="00000000" w:rsidRDefault="00D068E0">
      <w:pPr>
        <w:pStyle w:val="DefaultText"/>
        <w:jc w:val="both"/>
        <w:rPr>
          <w:rFonts w:ascii="Bookman Old Style" w:hAnsi="Bookman Old Style"/>
        </w:rPr>
      </w:pPr>
      <w:r>
        <w:rPr>
          <w:rFonts w:ascii="Bookman Old Style" w:hAnsi="Bookman Old Style"/>
        </w:rPr>
        <w:t>- gli oneri e i costi per l’eventuale realizzazione, installazione, manutenzione ed esercizio degli imp</w:t>
      </w:r>
      <w:r>
        <w:rPr>
          <w:rFonts w:ascii="Bookman Old Style" w:hAnsi="Bookman Old Style"/>
        </w:rPr>
        <w:t>ianti e delle strutture fisse e mobili, nonché di tutti gli allacciamenti. Gli impianti elettrici che verranno installati e/o ristrutturati dalla subconcessionaria devono essere a norma della L. 46/90 e delle altre disposizioni di legge vigenti in materia.</w:t>
      </w:r>
      <w:r>
        <w:rPr>
          <w:rFonts w:ascii="Bookman Old Style" w:hAnsi="Bookman Old Style"/>
        </w:rPr>
        <w:t xml:space="preserve"> La S.E.A.P. S.p.A. peraltro rimane estranea ai rapporti tra la subconcessionaria e l'ente distributore di energia elettrica per l'allacciamento della rete e della relativa fornitura, restando convenuto che ove il costo per l'energia venga sostenuto dalla </w:t>
      </w:r>
      <w:r>
        <w:rPr>
          <w:rFonts w:ascii="Bookman Old Style" w:hAnsi="Bookman Old Style"/>
        </w:rPr>
        <w:t>S.E.A.P. S.p.A., alla stessa spetterà il rimborso del costo maggiorato del 4% per spese generali;</w:t>
      </w:r>
    </w:p>
    <w:p w:rsidR="00000000" w:rsidRDefault="00D068E0">
      <w:pPr>
        <w:pStyle w:val="DefaultText"/>
        <w:jc w:val="both"/>
        <w:rPr>
          <w:rFonts w:ascii="Bookman Old Style" w:hAnsi="Bookman Old Style"/>
        </w:rPr>
      </w:pPr>
      <w:r>
        <w:rPr>
          <w:rFonts w:ascii="Bookman Old Style" w:hAnsi="Bookman Old Style"/>
        </w:rPr>
        <w:t>- quanto derivante dalle leggi di PS;</w:t>
      </w:r>
    </w:p>
    <w:p w:rsidR="00000000" w:rsidRDefault="00D068E0">
      <w:pPr>
        <w:pStyle w:val="DefaultText"/>
        <w:jc w:val="both"/>
        <w:rPr>
          <w:rFonts w:ascii="Bookman Old Style" w:hAnsi="Bookman Old Style"/>
        </w:rPr>
      </w:pPr>
      <w:r>
        <w:rPr>
          <w:rFonts w:ascii="Bookman Old Style" w:hAnsi="Bookman Old Style"/>
        </w:rPr>
        <w:t xml:space="preserve">- le imposte e le tasse di qualsiasi natura relative all'attività in oggetto, ivi comprese quelle dei rifiuti urbani; </w:t>
      </w:r>
    </w:p>
    <w:p w:rsidR="00000000" w:rsidRDefault="00D068E0">
      <w:pPr>
        <w:pStyle w:val="DefaultText"/>
        <w:jc w:val="both"/>
        <w:rPr>
          <w:rFonts w:ascii="Bookman Old Style" w:hAnsi="Bookman Old Style"/>
        </w:rPr>
      </w:pPr>
      <w:r>
        <w:rPr>
          <w:rFonts w:ascii="Bookman Old Style" w:hAnsi="Bookman Old Style"/>
        </w:rPr>
        <w:t>-</w:t>
      </w:r>
      <w:r>
        <w:rPr>
          <w:rFonts w:ascii="Bookman Old Style" w:hAnsi="Bookman Old Style"/>
        </w:rPr>
        <w:t xml:space="preserve"> gli oneri per le utenze comuni afferenti i beni che per la loro diretta connessione risultano asserviti anche se in modo non esclusivo (zone di uso comune) agli immobili di cui al precedente art. 1, così come determinate nelle tabelle SEAP che si allegano</w:t>
      </w:r>
      <w:r>
        <w:rPr>
          <w:rFonts w:ascii="Bookman Old Style" w:hAnsi="Bookman Old Style"/>
        </w:rPr>
        <w:t xml:space="preserve"> al presente atto e che la subconcessionaria dichiara espressamente di conoscere e di accettare, incondizionatamente e senza eccezioni di sorta;</w:t>
      </w:r>
    </w:p>
    <w:p w:rsidR="00000000" w:rsidRDefault="00D068E0">
      <w:pPr>
        <w:pStyle w:val="DefaultText"/>
        <w:jc w:val="both"/>
        <w:rPr>
          <w:rFonts w:ascii="Bookman Old Style" w:hAnsi="Bookman Old Style"/>
        </w:rPr>
      </w:pPr>
      <w:r>
        <w:rPr>
          <w:rFonts w:ascii="Bookman Old Style" w:hAnsi="Bookman Old Style"/>
        </w:rPr>
        <w:t>- la riparazione dei danni provocati a S.E.A.P o a terzi, direttamente o indirettamente dai dipendenti o da chi</w:t>
      </w:r>
      <w:r>
        <w:rPr>
          <w:rFonts w:ascii="Bookman Old Style" w:hAnsi="Bookman Old Style"/>
        </w:rPr>
        <w:t>unque altro acceda in ambito aeroportuale in forza dei suoi rapporti con la subconcessionaria;</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 xml:space="preserve">- quanto derivante da tutte le norme e prescrizioni dei contratti collettivi, delle leggi e dei regolamenti sulla tutela e assistenza dei lavoratori; </w:t>
      </w:r>
    </w:p>
    <w:p w:rsidR="00000000" w:rsidRDefault="00D068E0">
      <w:pPr>
        <w:pStyle w:val="DefaultText"/>
        <w:jc w:val="both"/>
      </w:pPr>
      <w:r>
        <w:rPr>
          <w:rFonts w:ascii="Bookman Old Style" w:hAnsi="Bookman Old Style"/>
        </w:rPr>
        <w:t>- quant</w:t>
      </w:r>
      <w:r>
        <w:rPr>
          <w:rFonts w:ascii="Bookman Old Style" w:hAnsi="Bookman Old Style"/>
        </w:rPr>
        <w:t>o previsto da tutte le disposizioni aeroportuali e da tutte le normative e prescrizioni delle Autorità competenti nazionali (Ministero delle Infrastrutture e dei Trasporti - ENAC).</w:t>
      </w:r>
    </w:p>
    <w:p w:rsidR="00000000" w:rsidRDefault="00D068E0">
      <w:pPr>
        <w:pStyle w:val="DefaultText"/>
        <w:jc w:val="both"/>
        <w:rPr>
          <w:rFonts w:ascii="Bookman Old Style" w:hAnsi="Bookman Old Style"/>
        </w:rPr>
      </w:pPr>
      <w:r>
        <w:rPr>
          <w:rFonts w:ascii="Bookman Old Style" w:hAnsi="Bookman Old Style"/>
        </w:rPr>
        <w:t xml:space="preserve">Nel caso di richiesta da parte della subconcessionaria di realizzazione di </w:t>
      </w:r>
      <w:r>
        <w:rPr>
          <w:rFonts w:ascii="Bookman Old Style" w:hAnsi="Bookman Old Style"/>
        </w:rPr>
        <w:t>nuove strutture o modifica di quelle attuali, la S.E.A.P. S.p.A. è tenuta a verificare la congruità delle installazioni contenute nel progetto che sarà successivamente approvato dall'ENAC. Ad insindacabile giudizio della S.E.A.P. gli impianti potranno esse</w:t>
      </w:r>
      <w:r>
        <w:rPr>
          <w:rFonts w:ascii="Bookman Old Style" w:hAnsi="Bookman Old Style"/>
        </w:rPr>
        <w:t>re temporaneamente o definitivamente rimossi per interventi infrastrutturali, di pianificazione e organizzazione dei flussi aeroportuali ed eventualmente potranno essere ricollocati dalla subconcessionaria su indicazione della stessa S.E.A.P. delle posizio</w:t>
      </w:r>
      <w:r>
        <w:rPr>
          <w:rFonts w:ascii="Bookman Old Style" w:hAnsi="Bookman Old Style"/>
        </w:rPr>
        <w:t>ni sostitutive.</w:t>
      </w:r>
    </w:p>
    <w:p w:rsidR="00000000" w:rsidRDefault="00D068E0">
      <w:pPr>
        <w:pStyle w:val="DefaultText"/>
        <w:jc w:val="both"/>
        <w:rPr>
          <w:rFonts w:ascii="Bookman Old Style" w:hAnsi="Bookman Old Style"/>
        </w:rPr>
      </w:pPr>
      <w:r>
        <w:rPr>
          <w:rFonts w:ascii="Bookman Old Style" w:hAnsi="Bookman Old Style"/>
        </w:rPr>
        <w:t>E' fatto divieto alla subconcessionaria di esercitare qualsiasi forma di pubblicità diretta e indiretta all'esterno dell’area subconcessa, con la precisazione che l'esposizione del logo societario non costituisce forma di pubblicità e salvo</w:t>
      </w:r>
      <w:r>
        <w:rPr>
          <w:rFonts w:ascii="Bookman Old Style" w:hAnsi="Bookman Old Style"/>
        </w:rPr>
        <w:t xml:space="preserve"> quanto concordato al proposito fra le parti.</w:t>
      </w:r>
    </w:p>
    <w:p w:rsidR="00000000" w:rsidRDefault="00D068E0">
      <w:pPr>
        <w:pStyle w:val="DefaultText"/>
        <w:jc w:val="both"/>
        <w:rPr>
          <w:rFonts w:ascii="Bookman Old Style" w:hAnsi="Bookman Old Style"/>
        </w:rPr>
      </w:pPr>
      <w:r>
        <w:rPr>
          <w:rFonts w:ascii="Bookman Old Style" w:hAnsi="Bookman Old Style"/>
        </w:rPr>
        <w:t>La subconcessionaria è responsabile del buon ordine dei lavori e del rispetto dei termini per il compimento degli stessi; essa ha inoltre l'obbligo di far osservare al proprio personale le norme di legge e di r</w:t>
      </w:r>
      <w:r>
        <w:rPr>
          <w:rFonts w:ascii="Bookman Old Style" w:hAnsi="Bookman Old Style"/>
        </w:rPr>
        <w:t>egolamento.</w:t>
      </w:r>
    </w:p>
    <w:p w:rsidR="00000000" w:rsidRDefault="00D068E0">
      <w:pPr>
        <w:pStyle w:val="DefaultText"/>
        <w:jc w:val="both"/>
        <w:rPr>
          <w:rFonts w:ascii="Bookman Old Style" w:hAnsi="Bookman Old Style"/>
        </w:rPr>
      </w:pPr>
      <w:r>
        <w:rPr>
          <w:rFonts w:ascii="Bookman Old Style" w:hAnsi="Bookman Old Style"/>
        </w:rPr>
        <w:t>La subconcessionaria è tenuta, altresì, al rispetto degli impegni assunti nell’ambito della carta dei servizi adottata dalla S.E.A.P. negli Aeroporti Pugliesi, ai sensi della normativa vigente.</w:t>
      </w:r>
    </w:p>
    <w:p w:rsidR="00000000" w:rsidRDefault="00D068E0">
      <w:pPr>
        <w:pStyle w:val="DefaultText"/>
        <w:jc w:val="both"/>
        <w:rPr>
          <w:rFonts w:ascii="Bookman Old Style" w:hAnsi="Bookman Old Style"/>
        </w:rPr>
      </w:pPr>
      <w:r>
        <w:rPr>
          <w:rFonts w:ascii="Bookman Old Style" w:hAnsi="Bookman Old Style"/>
        </w:rPr>
        <w:t>La subconcessionaria ha inoltre l’obbligo di comun</w:t>
      </w:r>
      <w:r>
        <w:rPr>
          <w:rFonts w:ascii="Bookman Old Style" w:hAnsi="Bookman Old Style"/>
        </w:rPr>
        <w:t>icare per iscritto a S.E.A.P. S.p.A. entro 30 giorni, ogni mutamento dei propri assetti societari.</w:t>
      </w:r>
    </w:p>
    <w:p w:rsidR="00000000" w:rsidRDefault="00D068E0">
      <w:pPr>
        <w:pStyle w:val="DefaultText"/>
        <w:jc w:val="both"/>
        <w:rPr>
          <w:rFonts w:ascii="Bookman Old Style" w:hAnsi="Bookman Old Style"/>
        </w:rPr>
      </w:pPr>
      <w:r>
        <w:rPr>
          <w:rFonts w:ascii="Bookman Old Style" w:hAnsi="Bookman Old Style"/>
        </w:rPr>
        <w:t>La sub - concessionaria ha l'obbligo di comunicare mensilmente i fatturati conseguiti per l'espletamento dell'attività oggetto della presente sub - concessio</w:t>
      </w:r>
      <w:r>
        <w:rPr>
          <w:rFonts w:ascii="Bookman Old Style" w:hAnsi="Bookman Old Style"/>
        </w:rPr>
        <w:t>ne e dichiara sin d'ora la disponibilità a consentire, a proprie spese, l'integrazione informatizzandola con il sistema informativo SEAP per la verifica dei dati di vendita.</w:t>
      </w:r>
    </w:p>
    <w:p w:rsidR="00000000" w:rsidRDefault="00D068E0">
      <w:pPr>
        <w:pStyle w:val="DefaultText"/>
        <w:jc w:val="both"/>
        <w:rPr>
          <w:rFonts w:ascii="Bookman Old Style" w:hAnsi="Bookman Old Style"/>
          <w:b/>
          <w:color w:val="FF0000"/>
        </w:rPr>
      </w:pPr>
      <w:r>
        <w:rPr>
          <w:rFonts w:ascii="Bookman Old Style" w:hAnsi="Bookman Old Style"/>
          <w:b/>
        </w:rPr>
        <w:t>ART. 5) MODALITA’ DI SVOLGIMENTO DEL SERVIZIO</w:t>
      </w:r>
    </w:p>
    <w:p w:rsidR="00000000" w:rsidRDefault="00D068E0">
      <w:pPr>
        <w:pStyle w:val="DefaultText"/>
        <w:jc w:val="both"/>
        <w:rPr>
          <w:rFonts w:ascii="Bookman Old Style" w:hAnsi="Bookman Old Style"/>
        </w:rPr>
      </w:pPr>
      <w:r>
        <w:rPr>
          <w:rFonts w:ascii="Bookman Old Style" w:hAnsi="Bookman Old Style"/>
        </w:rPr>
        <w:t>Oltre agli oneri di cui al precedent</w:t>
      </w:r>
      <w:r>
        <w:rPr>
          <w:rFonts w:ascii="Bookman Old Style" w:hAnsi="Bookman Old Style"/>
        </w:rPr>
        <w:t>e art. 4, la subconcessionaria si impegna, con la sottoscrizione del presente atto a realizzare e mantenere uno standard del servizio particolarmente elevato, con riferimento al decoro dell’ambiente, alla sua immagine e alla professionalità del personale i</w:t>
      </w:r>
      <w:r>
        <w:rPr>
          <w:rFonts w:ascii="Bookman Old Style" w:hAnsi="Bookman Old Style"/>
        </w:rPr>
        <w:t>mpiegato.</w:t>
      </w:r>
    </w:p>
    <w:p w:rsidR="00000000" w:rsidRDefault="00D068E0">
      <w:pPr>
        <w:pStyle w:val="DefaultText"/>
        <w:jc w:val="both"/>
        <w:rPr>
          <w:rFonts w:ascii="Bookman Old Style" w:hAnsi="Bookman Old Style"/>
        </w:rPr>
      </w:pPr>
      <w:r>
        <w:rPr>
          <w:rFonts w:ascii="Bookman Old Style" w:hAnsi="Bookman Old Style"/>
        </w:rPr>
        <w:t>In particolare:</w:t>
      </w:r>
    </w:p>
    <w:p w:rsidR="00000000" w:rsidRDefault="00D068E0">
      <w:pPr>
        <w:pStyle w:val="DefaultText"/>
        <w:jc w:val="both"/>
        <w:rPr>
          <w:rFonts w:ascii="Bookman Old Style" w:hAnsi="Bookman Old Style"/>
        </w:rPr>
      </w:pPr>
      <w:r>
        <w:rPr>
          <w:rFonts w:ascii="Bookman Old Style" w:hAnsi="Bookman Old Style"/>
        </w:rPr>
        <w:t>- la subconcessionaria si obbliga a garantire un elevato comfort per l’utenza; - per quanto attiene all’organizzazione del servizio, la subconcessionaria si impegna a garantire livelli e profili professionali adeguati al personale</w:t>
      </w:r>
      <w:r>
        <w:rPr>
          <w:rFonts w:ascii="Bookman Old Style" w:hAnsi="Bookman Old Style"/>
        </w:rPr>
        <w:t xml:space="preserve"> addetto al servizio al pubblico, con particolare riferimento all’utenza aeroportuale;</w:t>
      </w:r>
    </w:p>
    <w:p w:rsidR="00000000" w:rsidRDefault="00D068E0">
      <w:pPr>
        <w:pStyle w:val="DefaultText"/>
        <w:jc w:val="both"/>
        <w:rPr>
          <w:rFonts w:ascii="Bookman Old Style" w:hAnsi="Bookman Old Style"/>
        </w:rPr>
      </w:pPr>
      <w:r>
        <w:rPr>
          <w:rFonts w:ascii="Bookman Old Style" w:hAnsi="Bookman Old Style"/>
        </w:rPr>
        <w:t>- la subconcessionaria è tenuta a garantire l’igiene dei locali, delle attrezzature e degli arredi attinenti al servizio, provvedendo, ove occorra, con oneri a proprio c</w:t>
      </w:r>
      <w:r>
        <w:rPr>
          <w:rFonts w:ascii="Bookman Old Style" w:hAnsi="Bookman Old Style"/>
        </w:rPr>
        <w:t>arico, alla disinfestazione dei locali subconcessi;</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 la subconcessionaria dovrà provvedere con oneri a proprio carico ad eseguire interventi di manutenzione ordinaria e di adeguamento tecnico e normativo dei beni subconcessi, in modo che gli stessi sia</w:t>
      </w:r>
      <w:r>
        <w:rPr>
          <w:rFonts w:ascii="Bookman Old Style" w:hAnsi="Bookman Old Style"/>
        </w:rPr>
        <w:t>no sempre in buono stato, piena efficienza ed adeguati al livello dell’attività da svolgere;</w:t>
      </w:r>
    </w:p>
    <w:p w:rsidR="00000000" w:rsidRDefault="00D068E0">
      <w:pPr>
        <w:pStyle w:val="DefaultText"/>
        <w:jc w:val="both"/>
      </w:pPr>
      <w:r>
        <w:rPr>
          <w:rFonts w:ascii="Bookman Old Style" w:hAnsi="Bookman Old Style"/>
        </w:rPr>
        <w:t>- la subconcessionaria è tenuta, nello svolgimento dell’attività in oggetto, al rispetto dei seguenti orari: apertura dell’esercizio, un’ora prima del primo volo i</w:t>
      </w:r>
      <w:r>
        <w:rPr>
          <w:rFonts w:ascii="Bookman Old Style" w:hAnsi="Bookman Old Style"/>
        </w:rPr>
        <w:t>n partenza, e in chiusura, salvo richiesta SEAP per particolari esigenze, fino all'orario di partenza dell'ultimo volo.</w:t>
      </w:r>
    </w:p>
    <w:p w:rsidR="00000000" w:rsidRDefault="00D068E0">
      <w:pPr>
        <w:pStyle w:val="DefaultText"/>
        <w:jc w:val="both"/>
        <w:rPr>
          <w:rFonts w:ascii="Bookman Old Style" w:hAnsi="Bookman Old Style"/>
          <w:b/>
        </w:rPr>
      </w:pPr>
      <w:r>
        <w:rPr>
          <w:rFonts w:ascii="Bookman Old Style" w:hAnsi="Bookman Old Style"/>
          <w:b/>
        </w:rPr>
        <w:t>Art. 6 Responsabilità  - Copertura assicurativa</w:t>
      </w:r>
    </w:p>
    <w:p w:rsidR="00000000" w:rsidRDefault="00D068E0">
      <w:pPr>
        <w:pStyle w:val="DefaultText"/>
        <w:jc w:val="both"/>
        <w:rPr>
          <w:rFonts w:ascii="Bookman Old Style" w:hAnsi="Bookman Old Style"/>
        </w:rPr>
      </w:pPr>
      <w:r>
        <w:rPr>
          <w:rFonts w:ascii="Bookman Old Style" w:hAnsi="Bookman Old Style"/>
        </w:rPr>
        <w:t>La subconcessionaria si impegna a stipulare una polizza di assicurazione per responsabil</w:t>
      </w:r>
      <w:r>
        <w:rPr>
          <w:rFonts w:ascii="Bookman Old Style" w:hAnsi="Bookman Old Style"/>
        </w:rPr>
        <w:t>ità civile verso terzi, S.E.A.P. compresa, con primaria compagnia assicurativa. La polizza dovrà coprire tutti i rischi dell’espletamento dell’attività oggetto della subconcessione, ivi compresi il ricorso terzi da incendio e i danni per l’interruzione del</w:t>
      </w:r>
      <w:r>
        <w:rPr>
          <w:rFonts w:ascii="Bookman Old Style" w:hAnsi="Bookman Old Style"/>
        </w:rPr>
        <w:t>l’attività per un massimale pari ad 1.000.000,00 di Euro, per l’intera durata della gestione e dovrà essere dotata di un massimale non inferiore a Euro 2.500.000,00 unico, restando inteso che tale massimale non costituisce il limite del danno da risarcirsi</w:t>
      </w:r>
      <w:r>
        <w:rPr>
          <w:rFonts w:ascii="Bookman Old Style" w:hAnsi="Bookman Old Style"/>
        </w:rPr>
        <w:t xml:space="preserve"> da parte della subconcessionaria, per il quale danno, nel suo valore complessivo, risponderà, comunque, la subconcessionaria. Tale copertura dovrà contenere espressamente la seguente integrazione:</w:t>
      </w:r>
    </w:p>
    <w:p w:rsidR="00000000" w:rsidRDefault="00D068E0">
      <w:pPr>
        <w:pStyle w:val="DefaultText"/>
        <w:jc w:val="both"/>
        <w:rPr>
          <w:rFonts w:ascii="Bookman Old Style" w:hAnsi="Bookman Old Style"/>
        </w:rPr>
      </w:pPr>
      <w:r>
        <w:rPr>
          <w:rFonts w:ascii="Bookman Old Style" w:hAnsi="Bookman Old Style"/>
        </w:rPr>
        <w:t>- Estensione al novero di terzi alla SEAP SpA, ai suoi dip</w:t>
      </w:r>
      <w:r>
        <w:rPr>
          <w:rFonts w:ascii="Bookman Old Style" w:hAnsi="Bookman Old Style"/>
        </w:rPr>
        <w:t>endenti, ai suoi consulenti e ai suoi appaltatori e/o subappaltatori.</w:t>
      </w:r>
    </w:p>
    <w:p w:rsidR="00000000" w:rsidRDefault="00D068E0">
      <w:pPr>
        <w:pStyle w:val="DefaultText"/>
        <w:jc w:val="both"/>
        <w:rPr>
          <w:rFonts w:ascii="Bookman Old Style" w:hAnsi="Bookman Old Style"/>
        </w:rPr>
      </w:pPr>
      <w:r>
        <w:rPr>
          <w:rFonts w:ascii="Bookman Old Style" w:hAnsi="Bookman Old Style"/>
        </w:rPr>
        <w:t>La SEAP è esonerata da qualsiasi responsabilità per danni o infortuni che per le stesse cause dovessero derivare alla subconcessionaria o al suo personale.</w:t>
      </w:r>
    </w:p>
    <w:p w:rsidR="00000000" w:rsidRDefault="00D068E0">
      <w:pPr>
        <w:pStyle w:val="DefaultText"/>
        <w:jc w:val="both"/>
        <w:rPr>
          <w:rFonts w:ascii="Bookman Old Style" w:hAnsi="Bookman Old Style"/>
        </w:rPr>
      </w:pPr>
      <w:r>
        <w:rPr>
          <w:rFonts w:ascii="Bookman Old Style" w:hAnsi="Bookman Old Style"/>
        </w:rPr>
        <w:t>La subconcessionaria si obblig</w:t>
      </w:r>
      <w:r>
        <w:rPr>
          <w:rFonts w:ascii="Bookman Old Style" w:hAnsi="Bookman Old Style"/>
        </w:rPr>
        <w:t>a altresì ad assicurare in nome e per conto di SEAP il fabbricato, oggetto della subconcessione, per i rischi da incendio, eventi atmosferici, eventi socio/politici. La stessa polizza dovrà contenere il vincolo a favore di SEAP, per una durata pari a quell</w:t>
      </w:r>
      <w:r>
        <w:rPr>
          <w:rFonts w:ascii="Bookman Old Style" w:hAnsi="Bookman Old Style"/>
        </w:rPr>
        <w:t>a della subconcessione, utilizzando il seguente testo:</w:t>
      </w:r>
    </w:p>
    <w:p w:rsidR="00000000" w:rsidRDefault="00D068E0" w:rsidP="00D068E0">
      <w:pPr>
        <w:pStyle w:val="DefaultText"/>
        <w:numPr>
          <w:ilvl w:val="0"/>
          <w:numId w:val="3"/>
        </w:numPr>
        <w:jc w:val="both"/>
        <w:rPr>
          <w:rFonts w:ascii="Bookman Old Style" w:hAnsi="Bookman Old Style"/>
        </w:rPr>
      </w:pPr>
      <w:r>
        <w:rPr>
          <w:rFonts w:ascii="Bookman Old Style" w:hAnsi="Bookman Old Style"/>
        </w:rPr>
        <w:t>la presente polizza per una somma pari a Euro 988.800,00 è vincolata a tutti gli effetti a favore di SEAP, concessionaria dei beni demaniali ENAC fino al 12/02/2043; pertanto la subconcessionaria assic</w:t>
      </w:r>
      <w:r>
        <w:rPr>
          <w:rFonts w:ascii="Bookman Old Style" w:hAnsi="Bookman Old Style"/>
        </w:rPr>
        <w:t>uratrice si obbliga:</w:t>
      </w:r>
    </w:p>
    <w:p w:rsidR="00000000" w:rsidRDefault="00D068E0" w:rsidP="00D068E0">
      <w:pPr>
        <w:pStyle w:val="DefaultText"/>
        <w:numPr>
          <w:ilvl w:val="0"/>
          <w:numId w:val="3"/>
        </w:numPr>
        <w:jc w:val="both"/>
        <w:rPr>
          <w:rFonts w:ascii="Bookman Old Style" w:hAnsi="Bookman Old Style"/>
        </w:rPr>
      </w:pPr>
      <w:r>
        <w:rPr>
          <w:rFonts w:ascii="Bookman Old Style" w:hAnsi="Bookman Old Style"/>
        </w:rPr>
        <w:t>a riconoscere detto vincolo come l’unico ad essa dichiarato e da essa riconosciuto; a non liquidare alcun indennizzo se non in contradditorio e con il consenso scritto di SEAP SpA;</w:t>
      </w:r>
    </w:p>
    <w:p w:rsidR="00000000" w:rsidRDefault="00D068E0" w:rsidP="00D068E0">
      <w:pPr>
        <w:pStyle w:val="DefaultText"/>
        <w:numPr>
          <w:ilvl w:val="0"/>
          <w:numId w:val="3"/>
        </w:numPr>
        <w:jc w:val="both"/>
      </w:pPr>
      <w:r>
        <w:rPr>
          <w:rFonts w:ascii="Bookman Old Style" w:hAnsi="Bookman Old Style"/>
        </w:rPr>
        <w:t>a pagare esclusivamente a SEAP SpA l’importo della liq</w:t>
      </w:r>
      <w:r>
        <w:rPr>
          <w:rFonts w:ascii="Bookman Old Style" w:hAnsi="Bookman Old Style"/>
        </w:rPr>
        <w:t>uidazione del sinistro;</w:t>
      </w:r>
    </w:p>
    <w:p w:rsidR="00000000" w:rsidRDefault="00D068E0" w:rsidP="00D068E0">
      <w:pPr>
        <w:pStyle w:val="DefaultText"/>
        <w:numPr>
          <w:ilvl w:val="0"/>
          <w:numId w:val="3"/>
        </w:numPr>
        <w:jc w:val="both"/>
      </w:pPr>
      <w:r>
        <w:rPr>
          <w:rFonts w:ascii="Bookman Old Style" w:hAnsi="Bookman Old Style"/>
        </w:rPr>
        <w:t>a notificare tempestivamente a SEAP SpA a mezzo lettera raccomandata, l’eventuale mancato pagamento dei premi ed a considerare valida a tutti gli effetti l’assicurazione fino a quando non siano trascorsi 20 giorni dalla data di rice</w:t>
      </w:r>
      <w:r>
        <w:rPr>
          <w:rFonts w:ascii="Bookman Old Style" w:hAnsi="Bookman Old Style"/>
        </w:rPr>
        <w:t>zione di detta lettera raccomandata da parte di SEAP SpA.</w:t>
      </w:r>
    </w:p>
    <w:p w:rsidR="00000000" w:rsidRDefault="00D068E0">
      <w:pPr>
        <w:pStyle w:val="DefaultText"/>
        <w:jc w:val="both"/>
        <w:rPr>
          <w:rFonts w:ascii="Bookman Old Style" w:hAnsi="Bookman Old Style"/>
        </w:rPr>
      </w:pPr>
      <w:r>
        <w:rPr>
          <w:rFonts w:ascii="Bookman Old Style" w:hAnsi="Bookman Old Style"/>
        </w:rPr>
        <w:t xml:space="preserve">Resta convenuto, inoltre, che non potranno aver luogo diminuzioni di somme assicurate, variazioni alle garanzie di polizze (eventi atmosferici, </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eventi socio/politici), storno o disdetta del contr</w:t>
      </w:r>
      <w:r>
        <w:rPr>
          <w:rFonts w:ascii="Bookman Old Style" w:hAnsi="Bookman Old Style"/>
        </w:rPr>
        <w:t>atto di assicurazione senza il preventivo consenso scritto da parte di SEAP SpA.</w:t>
      </w:r>
    </w:p>
    <w:p w:rsidR="00000000" w:rsidRDefault="00D068E0">
      <w:pPr>
        <w:pStyle w:val="DefaultText"/>
        <w:jc w:val="both"/>
        <w:rPr>
          <w:rFonts w:ascii="Bookman Old Style" w:hAnsi="Bookman Old Style"/>
        </w:rPr>
      </w:pPr>
      <w:r>
        <w:rPr>
          <w:rFonts w:ascii="Bookman Old Style" w:hAnsi="Bookman Old Style"/>
          <w:b/>
        </w:rPr>
        <w:t>Art. 7 Cauzione definitiva</w:t>
      </w:r>
    </w:p>
    <w:p w:rsidR="00000000" w:rsidRDefault="00D068E0">
      <w:pPr>
        <w:pStyle w:val="DefaultText"/>
        <w:jc w:val="both"/>
        <w:rPr>
          <w:rFonts w:ascii="Bookman Old Style" w:hAnsi="Bookman Old Style"/>
        </w:rPr>
      </w:pPr>
      <w:r>
        <w:rPr>
          <w:rFonts w:ascii="Bookman Old Style" w:hAnsi="Bookman Old Style"/>
        </w:rPr>
        <w:t>A garanzia della piena ed esatta osservanza degli obblighi contrattuali assunti la ditta sub concessionaria dovrà prestare fideiussione bancaria o a</w:t>
      </w:r>
      <w:r>
        <w:rPr>
          <w:rFonts w:ascii="Bookman Old Style" w:hAnsi="Bookman Old Style"/>
        </w:rPr>
        <w:t>ssicurativa, stipulata con primario Istituto di Credito per l’importo di Euro 75.000,00.</w:t>
      </w:r>
    </w:p>
    <w:p w:rsidR="00000000" w:rsidRDefault="00D068E0">
      <w:pPr>
        <w:pStyle w:val="DefaultText"/>
        <w:jc w:val="both"/>
        <w:rPr>
          <w:rFonts w:ascii="Bookman Old Style" w:hAnsi="Bookman Old Style"/>
        </w:rPr>
      </w:pPr>
      <w:r>
        <w:rPr>
          <w:rFonts w:ascii="Bookman Old Style" w:hAnsi="Bookman Old Style"/>
        </w:rPr>
        <w:t>Tale fideiussione dovrà evidenziare:</w:t>
      </w:r>
    </w:p>
    <w:p w:rsidR="00000000" w:rsidRDefault="00D068E0">
      <w:pPr>
        <w:pStyle w:val="DefaultText"/>
        <w:jc w:val="both"/>
        <w:rPr>
          <w:rFonts w:ascii="Bookman Old Style" w:hAnsi="Bookman Old Style"/>
        </w:rPr>
      </w:pPr>
      <w:r>
        <w:rPr>
          <w:rFonts w:ascii="Bookman Old Style" w:hAnsi="Bookman Old Style"/>
        </w:rPr>
        <w:t>- che lo vincolo sarà disposto solo dalla S.E.A.P. con apposita dichiarazione o restituzione dell’originale;</w:t>
      </w:r>
    </w:p>
    <w:p w:rsidR="00000000" w:rsidRDefault="00D068E0">
      <w:pPr>
        <w:pStyle w:val="DefaultText"/>
        <w:jc w:val="both"/>
        <w:rPr>
          <w:rFonts w:ascii="Bookman Old Style" w:hAnsi="Bookman Old Style"/>
        </w:rPr>
      </w:pPr>
      <w:r>
        <w:rPr>
          <w:rFonts w:ascii="Bookman Old Style" w:hAnsi="Bookman Old Style"/>
        </w:rPr>
        <w:t>- che l’Ente fideiuss</w:t>
      </w:r>
      <w:r>
        <w:rPr>
          <w:rFonts w:ascii="Bookman Old Style" w:hAnsi="Bookman Old Style"/>
        </w:rPr>
        <w:t>ore si obbliga incondizionatamente e senza riserva alcuna ad effettuare, su semplice richiesta della S.E.A.P. S.p.A., il versamento della somma dovuta;</w:t>
      </w:r>
    </w:p>
    <w:p w:rsidR="00000000" w:rsidRDefault="00D068E0">
      <w:pPr>
        <w:pStyle w:val="DefaultText"/>
        <w:jc w:val="both"/>
        <w:rPr>
          <w:rFonts w:ascii="Bookman Old Style" w:hAnsi="Bookman Old Style"/>
        </w:rPr>
      </w:pPr>
      <w:r>
        <w:rPr>
          <w:rFonts w:ascii="Bookman Old Style" w:hAnsi="Bookman Old Style"/>
        </w:rPr>
        <w:t>- che l’ente fideiussore rinuncia al beneficio della preventiva escussione del garantito (art. 1944 c.c.</w:t>
      </w:r>
      <w:r>
        <w:rPr>
          <w:rFonts w:ascii="Bookman Old Style" w:hAnsi="Bookman Old Style"/>
        </w:rPr>
        <w:t xml:space="preserve">). </w:t>
      </w:r>
    </w:p>
    <w:p w:rsidR="00000000" w:rsidRDefault="00D068E0">
      <w:pPr>
        <w:pStyle w:val="DefaultText"/>
        <w:jc w:val="both"/>
        <w:rPr>
          <w:rFonts w:ascii="Bookman Old Style" w:hAnsi="Bookman Old Style"/>
        </w:rPr>
      </w:pPr>
      <w:r>
        <w:rPr>
          <w:rFonts w:ascii="Bookman Old Style" w:hAnsi="Bookman Old Style"/>
        </w:rPr>
        <w:t>La cauzione resta vincolata sino al completo soddisfacimento degli obblighi contrattuali, e comunque oltre 90 giorni dopo la data di cessazione della sub concessione.</w:t>
      </w:r>
    </w:p>
    <w:p w:rsidR="00000000" w:rsidRDefault="00D068E0">
      <w:pPr>
        <w:pStyle w:val="DefaultText"/>
        <w:jc w:val="both"/>
        <w:rPr>
          <w:rFonts w:ascii="Bookman Old Style" w:hAnsi="Bookman Old Style"/>
          <w:b/>
        </w:rPr>
      </w:pPr>
      <w:r>
        <w:rPr>
          <w:rFonts w:ascii="Bookman Old Style" w:hAnsi="Bookman Old Style"/>
          <w:b/>
        </w:rPr>
        <w:t>Art. 7 Revoca</w:t>
      </w:r>
    </w:p>
    <w:p w:rsidR="00000000" w:rsidRDefault="00D068E0">
      <w:pPr>
        <w:pStyle w:val="DefaultText"/>
        <w:jc w:val="both"/>
        <w:rPr>
          <w:rFonts w:ascii="Bookman Old Style" w:hAnsi="Bookman Old Style"/>
        </w:rPr>
      </w:pPr>
      <w:r>
        <w:rPr>
          <w:rFonts w:ascii="Bookman Old Style" w:hAnsi="Bookman Old Style"/>
        </w:rPr>
        <w:t xml:space="preserve">La S.E.A.P. S.p.A. potrà revocare la subconcessione di cui al presente </w:t>
      </w:r>
      <w:r>
        <w:rPr>
          <w:rFonts w:ascii="Bookman Old Style" w:hAnsi="Bookman Old Style"/>
        </w:rPr>
        <w:t>atto nei seguenti casi:</w:t>
      </w:r>
    </w:p>
    <w:p w:rsidR="00000000" w:rsidRDefault="00D068E0">
      <w:pPr>
        <w:pStyle w:val="DefaultText"/>
        <w:jc w:val="both"/>
      </w:pPr>
      <w:r>
        <w:rPr>
          <w:rFonts w:ascii="Bookman Old Style" w:hAnsi="Bookman Old Style"/>
        </w:rPr>
        <w:t>- qualora la Società venga sottoposta a procedure concorsuali;</w:t>
      </w:r>
    </w:p>
    <w:p w:rsidR="00000000" w:rsidRDefault="00D068E0">
      <w:pPr>
        <w:pStyle w:val="DefaultText"/>
        <w:jc w:val="both"/>
        <w:rPr>
          <w:rFonts w:ascii="Bookman Old Style" w:hAnsi="Bookman Old Style"/>
        </w:rPr>
      </w:pPr>
      <w:r>
        <w:rPr>
          <w:rFonts w:ascii="Bookman Old Style" w:hAnsi="Bookman Old Style"/>
        </w:rPr>
        <w:t xml:space="preserve">ritardo del pagamento di 2 ratei del corrispettivo previsto che si protragga oltre 60 giorni; </w:t>
      </w:r>
    </w:p>
    <w:p w:rsidR="00000000" w:rsidRDefault="00D068E0">
      <w:pPr>
        <w:pStyle w:val="DefaultText"/>
        <w:jc w:val="both"/>
        <w:rPr>
          <w:rFonts w:ascii="Bookman Old Style" w:hAnsi="Bookman Old Style"/>
        </w:rPr>
      </w:pPr>
      <w:r>
        <w:rPr>
          <w:rFonts w:ascii="Bookman Old Style" w:hAnsi="Bookman Old Style"/>
        </w:rPr>
        <w:t>- mancata stipula o rinnovo delle assicurazioni di cui al precedente art.6</w:t>
      </w:r>
      <w:r>
        <w:rPr>
          <w:rFonts w:ascii="Bookman Old Style" w:hAnsi="Bookman Old Style"/>
        </w:rPr>
        <w:t>;</w:t>
      </w:r>
    </w:p>
    <w:p w:rsidR="00000000" w:rsidRDefault="00D068E0">
      <w:pPr>
        <w:pStyle w:val="DefaultText"/>
        <w:jc w:val="both"/>
        <w:rPr>
          <w:rFonts w:ascii="Bookman Old Style" w:hAnsi="Bookman Old Style"/>
        </w:rPr>
      </w:pPr>
      <w:r>
        <w:rPr>
          <w:rFonts w:ascii="Bookman Old Style" w:hAnsi="Bookman Old Style"/>
        </w:rPr>
        <w:t>- mancata stipula o reintegro della fideiussione di cui al precedente art. 7;</w:t>
      </w:r>
    </w:p>
    <w:p w:rsidR="00000000" w:rsidRDefault="00D068E0">
      <w:pPr>
        <w:pStyle w:val="DefaultText"/>
        <w:jc w:val="both"/>
        <w:rPr>
          <w:rFonts w:ascii="Bookman Old Style" w:hAnsi="Bookman Old Style"/>
        </w:rPr>
      </w:pPr>
      <w:r>
        <w:rPr>
          <w:rFonts w:ascii="Bookman Old Style" w:hAnsi="Bookman Old Style"/>
        </w:rPr>
        <w:t>- grave trasgressione degli obblighi previsti dal precedente art. 5 anche con riferimento agli standard di servizi, previsti dalla carta dei servizi SEAP;</w:t>
      </w:r>
    </w:p>
    <w:p w:rsidR="00000000" w:rsidRDefault="00D068E0">
      <w:pPr>
        <w:pStyle w:val="DefaultText"/>
        <w:jc w:val="both"/>
        <w:rPr>
          <w:rFonts w:ascii="Bookman Old Style" w:hAnsi="Bookman Old Style"/>
        </w:rPr>
      </w:pPr>
      <w:r>
        <w:rPr>
          <w:rFonts w:ascii="Bookman Old Style" w:hAnsi="Bookman Old Style"/>
        </w:rPr>
        <w:t>- grave trasgressione</w:t>
      </w:r>
      <w:r>
        <w:rPr>
          <w:rFonts w:ascii="Bookman Old Style" w:hAnsi="Bookman Old Style"/>
        </w:rPr>
        <w:t xml:space="preserve"> degli altri obblighi previsti dal presente atto;</w:t>
      </w:r>
    </w:p>
    <w:p w:rsidR="00000000" w:rsidRDefault="00D068E0">
      <w:pPr>
        <w:pStyle w:val="DefaultText"/>
        <w:jc w:val="both"/>
        <w:rPr>
          <w:rFonts w:ascii="Bookman Old Style" w:hAnsi="Bookman Old Style"/>
        </w:rPr>
      </w:pPr>
      <w:r>
        <w:rPr>
          <w:rFonts w:ascii="Bookman Old Style" w:hAnsi="Bookman Old Style"/>
        </w:rPr>
        <w:t>- cessione da parte della subconcessionaria in tutto o in parte del presente contratto o di beni oggetto del medesimo a qualunque titolo anche gratuito;</w:t>
      </w:r>
    </w:p>
    <w:p w:rsidR="00000000" w:rsidRDefault="00D068E0">
      <w:pPr>
        <w:pStyle w:val="DefaultText"/>
        <w:jc w:val="both"/>
        <w:rPr>
          <w:rFonts w:ascii="Bookman Old Style" w:hAnsi="Bookman Old Style"/>
        </w:rPr>
      </w:pPr>
      <w:r>
        <w:rPr>
          <w:rFonts w:ascii="Bookman Old Style" w:hAnsi="Bookman Old Style"/>
        </w:rPr>
        <w:t>- esecuzione da parte della subconcessionaria di oper</w:t>
      </w:r>
      <w:r>
        <w:rPr>
          <w:rFonts w:ascii="Bookman Old Style" w:hAnsi="Bookman Old Style"/>
        </w:rPr>
        <w:t>azioni in sostituzione o in concorrenza di servizi che, in base alla vigente legislazione, sono istituzionalmente eseguiti dalla SEAP.</w:t>
      </w:r>
    </w:p>
    <w:p w:rsidR="00000000" w:rsidRDefault="00D068E0">
      <w:pPr>
        <w:pStyle w:val="DefaultText"/>
        <w:jc w:val="both"/>
        <w:rPr>
          <w:b/>
        </w:rPr>
      </w:pPr>
      <w:r>
        <w:rPr>
          <w:rFonts w:ascii="Bookman Old Style" w:hAnsi="Bookman Old Style"/>
        </w:rPr>
        <w:t>- qualunque ulteriore motivo riconducibile all’art. 47 del codice della navigazione.</w:t>
      </w:r>
    </w:p>
    <w:p w:rsidR="00000000" w:rsidRDefault="00D068E0">
      <w:pPr>
        <w:pStyle w:val="DefaultText"/>
        <w:jc w:val="both"/>
        <w:rPr>
          <w:rFonts w:ascii="Bookman Old Style" w:hAnsi="Bookman Old Style"/>
        </w:rPr>
      </w:pPr>
      <w:r>
        <w:rPr>
          <w:rFonts w:ascii="Bookman Old Style" w:hAnsi="Bookman Old Style"/>
        </w:rPr>
        <w:t>In tali casi la subconcessionaria sa</w:t>
      </w:r>
      <w:r>
        <w:rPr>
          <w:rFonts w:ascii="Bookman Old Style" w:hAnsi="Bookman Old Style"/>
        </w:rPr>
        <w:t>rà tenuta al pagamento del corrispettivo in relazione al periodo effettivamente trascorso.</w:t>
      </w:r>
    </w:p>
    <w:p w:rsidR="00000000" w:rsidRDefault="00D068E0">
      <w:pPr>
        <w:pStyle w:val="DefaultText"/>
        <w:jc w:val="both"/>
        <w:rPr>
          <w:rFonts w:ascii="Bookman Old Style" w:hAnsi="Bookman Old Style"/>
        </w:rPr>
      </w:pPr>
      <w:r>
        <w:rPr>
          <w:rFonts w:ascii="Bookman Old Style" w:hAnsi="Bookman Old Style"/>
        </w:rPr>
        <w:t>La SEAP avrà il diritto di ritenere la cauzione di cui al precedente art. 7, oltre alla richiesta dei maggiori danni.</w:t>
      </w:r>
    </w:p>
    <w:p w:rsidR="00000000" w:rsidRDefault="00D068E0">
      <w:pPr>
        <w:pStyle w:val="DefaultText"/>
        <w:jc w:val="both"/>
        <w:rPr>
          <w:rFonts w:ascii="Bookman Old Style" w:hAnsi="Bookman Old Style"/>
        </w:rPr>
      </w:pPr>
      <w:r>
        <w:rPr>
          <w:rFonts w:ascii="Bookman Old Style" w:hAnsi="Bookman Old Style"/>
        </w:rPr>
        <w:t xml:space="preserve">La SEAP S.p.A. si riserva, altresì, il diritto </w:t>
      </w:r>
      <w:r>
        <w:rPr>
          <w:rFonts w:ascii="Bookman Old Style" w:hAnsi="Bookman Old Style"/>
        </w:rPr>
        <w:t>di revocare in qualsiasi momento in tutto o in parte la subconcessione a suo insindacabile giudizio per esigenze della Concessionaria e/o dell'Autorità Concedente per altre esigenze previste dal servizio aeronautico, per altri motivi connessi al pubblico i</w:t>
      </w:r>
      <w:r>
        <w:rPr>
          <w:rFonts w:ascii="Bookman Old Style" w:hAnsi="Bookman Old Style"/>
        </w:rPr>
        <w:t xml:space="preserve">nteresse, per sdemanializzazione dei beni oggetto del presente </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contratto e nei casi di revoca o mancato rinnovo della Concessione Ministeriale della S.E.A P.</w:t>
      </w:r>
    </w:p>
    <w:p w:rsidR="00000000" w:rsidRDefault="00D068E0">
      <w:pPr>
        <w:pStyle w:val="DefaultText"/>
        <w:jc w:val="both"/>
        <w:rPr>
          <w:rFonts w:ascii="Bookman Old Style" w:hAnsi="Bookman Old Style"/>
        </w:rPr>
      </w:pPr>
      <w:r>
        <w:rPr>
          <w:rFonts w:ascii="Bookman Old Style" w:hAnsi="Bookman Old Style"/>
        </w:rPr>
        <w:t>In tali casi la subconcessionaria non avrà diritto di indennizzo alcuno ma sarà tenuta al pagam</w:t>
      </w:r>
      <w:r>
        <w:rPr>
          <w:rFonts w:ascii="Bookman Old Style" w:hAnsi="Bookman Old Style"/>
        </w:rPr>
        <w:t>ento del corrispettivo in relazione al periodo effettivamente trascorso. La subconcessionaria avrà inoltre diritto alla restituzione della garanzia di cui al successivo art. 11.</w:t>
      </w:r>
    </w:p>
    <w:p w:rsidR="00000000" w:rsidRDefault="00D068E0">
      <w:pPr>
        <w:pStyle w:val="DefaultText"/>
        <w:jc w:val="both"/>
        <w:rPr>
          <w:rFonts w:ascii="Bookman Old Style" w:hAnsi="Bookman Old Style"/>
        </w:rPr>
      </w:pPr>
      <w:r>
        <w:rPr>
          <w:rFonts w:ascii="Bookman Old Style" w:hAnsi="Bookman Old Style"/>
        </w:rPr>
        <w:t>La revoca della subconcessione sarà comunicata da S.E.A.P. alla subconcessiona</w:t>
      </w:r>
      <w:r>
        <w:rPr>
          <w:rFonts w:ascii="Bookman Old Style" w:hAnsi="Bookman Old Style"/>
        </w:rPr>
        <w:t>ria mediante raccomandata a.r., contenente il motivo della revoca stessa.</w:t>
      </w:r>
    </w:p>
    <w:p w:rsidR="00000000" w:rsidRDefault="00D068E0">
      <w:pPr>
        <w:pStyle w:val="DefaultText"/>
        <w:jc w:val="both"/>
        <w:rPr>
          <w:rFonts w:ascii="Bookman Old Style" w:hAnsi="Bookman Old Style"/>
          <w:b/>
        </w:rPr>
      </w:pPr>
      <w:r>
        <w:rPr>
          <w:rFonts w:ascii="Bookman Old Style" w:hAnsi="Bookman Old Style"/>
          <w:b/>
        </w:rPr>
        <w:t xml:space="preserve">Art. 9 Recesso </w:t>
      </w:r>
    </w:p>
    <w:p w:rsidR="00000000" w:rsidRDefault="00D068E0">
      <w:pPr>
        <w:pStyle w:val="DefaultText"/>
        <w:jc w:val="both"/>
        <w:rPr>
          <w:rFonts w:ascii="Bookman Old Style" w:hAnsi="Bookman Old Style"/>
        </w:rPr>
      </w:pPr>
      <w:r>
        <w:rPr>
          <w:rFonts w:ascii="Bookman Old Style" w:hAnsi="Bookman Old Style"/>
        </w:rPr>
        <w:t>Oltre che quanto previsto nei precedenti articoli, la subconcessionaria potrà recedere dal contratto solo quando ricorra una giusta causa. La dichiarazione di rinunci</w:t>
      </w:r>
      <w:r>
        <w:rPr>
          <w:rFonts w:ascii="Bookman Old Style" w:hAnsi="Bookman Old Style"/>
        </w:rPr>
        <w:t>a per giusta causa avrà effetti dal termine in essa indicato, che tuttavia, non potrà essere inferiore a 60 giorni dal recapito alla dichiarazione della stessa SEAP S.p.A.</w:t>
      </w:r>
    </w:p>
    <w:p w:rsidR="00000000" w:rsidRDefault="00D068E0">
      <w:pPr>
        <w:pStyle w:val="DefaultText"/>
        <w:jc w:val="both"/>
      </w:pPr>
      <w:r>
        <w:rPr>
          <w:rFonts w:ascii="Bookman Old Style" w:hAnsi="Bookman Old Style"/>
        </w:rPr>
        <w:t xml:space="preserve">In ogni ipotesi di legittima rinuncia i rapporti tra la subconcessionaria e la SEAP </w:t>
      </w:r>
      <w:r>
        <w:rPr>
          <w:rFonts w:ascii="Bookman Old Style" w:hAnsi="Bookman Old Style"/>
        </w:rPr>
        <w:t>saranno regolati secondo quanto previsto dal seguente art.9.</w:t>
      </w:r>
    </w:p>
    <w:p w:rsidR="00000000" w:rsidRDefault="00D068E0">
      <w:pPr>
        <w:pStyle w:val="DefaultText"/>
        <w:jc w:val="both"/>
        <w:rPr>
          <w:rFonts w:ascii="Bookman Old Style" w:hAnsi="Bookman Old Style"/>
          <w:b/>
        </w:rPr>
      </w:pPr>
      <w:r>
        <w:rPr>
          <w:rFonts w:ascii="Bookman Old Style" w:hAnsi="Bookman Old Style"/>
          <w:b/>
        </w:rPr>
        <w:t>Art. 10 Riconsegna dei beni</w:t>
      </w:r>
    </w:p>
    <w:p w:rsidR="00000000" w:rsidRDefault="00D068E0">
      <w:pPr>
        <w:pStyle w:val="DefaultText"/>
        <w:jc w:val="both"/>
        <w:rPr>
          <w:rFonts w:ascii="Bookman Old Style" w:hAnsi="Bookman Old Style"/>
        </w:rPr>
      </w:pPr>
      <w:r>
        <w:rPr>
          <w:rFonts w:ascii="Bookman Old Style" w:hAnsi="Bookman Old Style"/>
        </w:rPr>
        <w:t>In ciascuna delle ipotesi di scadenza per decorso del termine stabilito, revoca e recesso, la subconcessionaria ha l’obbligo di riconsegnare quanto oggetto della prese</w:t>
      </w:r>
      <w:r>
        <w:rPr>
          <w:rFonts w:ascii="Bookman Old Style" w:hAnsi="Bookman Old Style"/>
        </w:rPr>
        <w:t>nte subconcessione sgomberato a proprie spese dei beni che non debbano essere restituiti alla S.E.A.P., entro 30 giorni dal ricevimento di semplice intimazione scritta.</w:t>
      </w:r>
    </w:p>
    <w:p w:rsidR="00000000" w:rsidRDefault="00D068E0">
      <w:pPr>
        <w:pStyle w:val="DefaultText"/>
        <w:jc w:val="both"/>
        <w:rPr>
          <w:rFonts w:ascii="Bookman Old Style" w:hAnsi="Bookman Old Style"/>
        </w:rPr>
      </w:pPr>
      <w:r>
        <w:rPr>
          <w:rFonts w:ascii="Bookman Old Style" w:hAnsi="Bookman Old Style"/>
        </w:rPr>
        <w:t>Il mancato adempimento di tale intimazione attribuirà senz’altro alla S.E.A.P. S.p.A. i</w:t>
      </w:r>
      <w:r>
        <w:rPr>
          <w:rFonts w:ascii="Bookman Old Style" w:hAnsi="Bookman Old Style"/>
        </w:rPr>
        <w:t>l diritto di provvedere d’ufficio allo sgombero degli immobili, in danno della subconcessionaria, la quale sin d’ora solleva  S.E.A.P. da ogni e qualsivoglia molestia da parte di eventuali terzi interessati verso i quali essa sola risponderà delle consegue</w:t>
      </w:r>
      <w:r>
        <w:rPr>
          <w:rFonts w:ascii="Bookman Old Style" w:hAnsi="Bookman Old Style"/>
        </w:rPr>
        <w:t>nze dello sgombero.</w:t>
      </w:r>
    </w:p>
    <w:p w:rsidR="00000000" w:rsidRDefault="00D068E0">
      <w:pPr>
        <w:pStyle w:val="DefaultText"/>
        <w:jc w:val="both"/>
        <w:rPr>
          <w:rFonts w:ascii="Bookman Old Style" w:hAnsi="Bookman Old Style"/>
          <w:b/>
        </w:rPr>
      </w:pPr>
      <w:r>
        <w:rPr>
          <w:rFonts w:ascii="Bookman Old Style" w:hAnsi="Bookman Old Style"/>
          <w:b/>
        </w:rPr>
        <w:t>Art. 11 Divieto di cessione del contratto. Divieto di sub – appalto.</w:t>
      </w:r>
    </w:p>
    <w:p w:rsidR="00000000" w:rsidRDefault="00D068E0">
      <w:pPr>
        <w:pStyle w:val="DefaultText"/>
        <w:jc w:val="both"/>
        <w:rPr>
          <w:rFonts w:ascii="Bookman Old Style" w:hAnsi="Bookman Old Style"/>
        </w:rPr>
      </w:pPr>
      <w:r>
        <w:rPr>
          <w:rFonts w:ascii="Bookman Old Style" w:hAnsi="Bookman Old Style"/>
        </w:rPr>
        <w:t>Il contratto non può essere ceduto, né sono cedibili i diritti che ne derivano, neppure parzialmente, pena la decadenza del contratto.</w:t>
      </w:r>
    </w:p>
    <w:p w:rsidR="00000000" w:rsidRDefault="00D068E0">
      <w:pPr>
        <w:pStyle w:val="DefaultText"/>
        <w:jc w:val="both"/>
        <w:rPr>
          <w:rFonts w:ascii="Bookman Old Style" w:hAnsi="Bookman Old Style"/>
        </w:rPr>
      </w:pPr>
      <w:r>
        <w:rPr>
          <w:rFonts w:ascii="Bookman Old Style" w:hAnsi="Bookman Old Style"/>
        </w:rPr>
        <w:t>E’ vietato il subappalto del ser</w:t>
      </w:r>
      <w:r>
        <w:rPr>
          <w:rFonts w:ascii="Bookman Old Style" w:hAnsi="Bookman Old Style"/>
        </w:rPr>
        <w:t>vizio, a qualsiasi titolo e in qualsiasi forma, parziale e/o temporaneo, anche solo di specifiche parti del servizio aggiudicato, pena l'immediata revoca del contratto.</w:t>
      </w:r>
    </w:p>
    <w:p w:rsidR="00000000" w:rsidRDefault="00D068E0">
      <w:pPr>
        <w:pStyle w:val="DefaultText"/>
        <w:jc w:val="both"/>
        <w:rPr>
          <w:rFonts w:ascii="Bookman Old Style" w:hAnsi="Bookman Old Style"/>
          <w:b/>
        </w:rPr>
      </w:pPr>
      <w:r>
        <w:rPr>
          <w:rFonts w:ascii="Bookman Old Style" w:hAnsi="Bookman Old Style"/>
          <w:b/>
        </w:rPr>
        <w:t xml:space="preserve">Art. 12) Foro Competente </w:t>
      </w:r>
    </w:p>
    <w:p w:rsidR="00000000" w:rsidRDefault="00D068E0">
      <w:pPr>
        <w:pStyle w:val="DefaultText"/>
        <w:jc w:val="both"/>
        <w:rPr>
          <w:rFonts w:ascii="Bookman Old Style" w:hAnsi="Bookman Old Style"/>
        </w:rPr>
      </w:pPr>
      <w:r>
        <w:rPr>
          <w:rFonts w:ascii="Bookman Old Style" w:hAnsi="Bookman Old Style"/>
        </w:rPr>
        <w:t>Per tutte le controversie attinenti il presente atto sarà com</w:t>
      </w:r>
      <w:r>
        <w:rPr>
          <w:rFonts w:ascii="Bookman Old Style" w:hAnsi="Bookman Old Style"/>
        </w:rPr>
        <w:t>petente in via esclusiva il Foro di Bari.</w:t>
      </w:r>
    </w:p>
    <w:p w:rsidR="00000000" w:rsidRDefault="00D068E0">
      <w:pPr>
        <w:pStyle w:val="DefaultText"/>
        <w:jc w:val="both"/>
        <w:rPr>
          <w:rFonts w:ascii="Bookman Old Style" w:hAnsi="Bookman Old Style"/>
          <w:b/>
        </w:rPr>
      </w:pPr>
      <w:r>
        <w:rPr>
          <w:rFonts w:ascii="Bookman Old Style" w:hAnsi="Bookman Old Style"/>
          <w:b/>
        </w:rPr>
        <w:t>Art. 13.Trattamento dei dati personali ai sensi del D.Lgs. 196/2003</w:t>
      </w:r>
    </w:p>
    <w:p w:rsidR="00000000" w:rsidRDefault="00D068E0">
      <w:pPr>
        <w:pStyle w:val="DefaultText"/>
        <w:jc w:val="both"/>
        <w:rPr>
          <w:rFonts w:ascii="Bookman Old Style" w:hAnsi="Bookman Old Style"/>
        </w:rPr>
      </w:pPr>
      <w:r>
        <w:rPr>
          <w:rFonts w:ascii="Bookman Old Style" w:hAnsi="Bookman Old Style"/>
        </w:rPr>
        <w:t>Ai sensi e per gli effetti del</w:t>
      </w:r>
      <w:r>
        <w:rPr>
          <w:rFonts w:ascii="Bookman Old Style" w:hAnsi="Bookman Old Style"/>
          <w:b/>
        </w:rPr>
        <w:t xml:space="preserve"> </w:t>
      </w:r>
      <w:r>
        <w:rPr>
          <w:rFonts w:ascii="Bookman Old Style" w:hAnsi="Bookman Old Style"/>
        </w:rPr>
        <w:t>DLgs. 196/2003, in materia di “tutela delle persone e di altri soggetti rispetto al trattamento dei dati personali”</w:t>
      </w:r>
      <w:r>
        <w:rPr>
          <w:rFonts w:ascii="Bookman Old Style" w:hAnsi="Bookman Old Style"/>
        </w:rPr>
        <w:t>, l’Ente Appaltante comunica che è sua intenzione procedere al trattamento dei dati personali forniti da ciascun concorrente con la presentazione dell’offerta.</w:t>
      </w:r>
    </w:p>
    <w:p w:rsidR="00000000" w:rsidRDefault="00D068E0">
      <w:pPr>
        <w:pStyle w:val="DefaultText"/>
        <w:jc w:val="both"/>
        <w:rPr>
          <w:rFonts w:ascii="Bookman Old Style" w:hAnsi="Bookman Old Style"/>
        </w:rPr>
      </w:pPr>
      <w:r>
        <w:rPr>
          <w:rFonts w:ascii="Bookman Old Style" w:hAnsi="Bookman Old Style"/>
        </w:rPr>
        <w:t>I suindicati dati saranno sottoposti a trattamento, automatizzato e non, esclusivamente per le f</w:t>
      </w:r>
      <w:r>
        <w:rPr>
          <w:rFonts w:ascii="Bookman Old Style" w:hAnsi="Bookman Old Style"/>
        </w:rPr>
        <w:t>inalità gestionali e amministrative inerenti la procedura di gara.</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Si rammenta che il conferimento di dati ha natura facoltativa, ma un eventuale rifiuto da parte del  concorrente non consentirà di prendere in esame l’offerta.</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I dati suddetti non sara</w:t>
      </w:r>
      <w:r>
        <w:rPr>
          <w:rFonts w:ascii="Bookman Old Style" w:hAnsi="Bookman Old Style"/>
        </w:rPr>
        <w:t>nno comunicati a terzi, fatta eccezione per le competenti pubbliche autorità, o soggetti privati in adempimenti ad obblighi di legge.</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Relativamente al trattamento dei dati, i concorrenti avranno la facoltà di esercitare tutti i diritti di cui all’art. 7 d</w:t>
      </w:r>
      <w:r>
        <w:rPr>
          <w:rFonts w:ascii="Bookman Old Style" w:hAnsi="Bookman Old Style"/>
        </w:rPr>
        <w:t>el D.Lgs. 196/2003.</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Titolare del trattamento è SEAP – Società Esercizio Aeroporti Puglia S.p.A. – con sede in Bari Aeroporto Civile in Bari - Palese (C.A.P. 70057 Bari).</w:t>
      </w:r>
    </w:p>
    <w:p w:rsidR="00000000" w:rsidRDefault="00D068E0">
      <w:pPr>
        <w:pStyle w:val="DefaultText"/>
        <w:jc w:val="both"/>
        <w:rPr>
          <w:rFonts w:ascii="Bookman Old Style" w:hAnsi="Bookman Old Style"/>
        </w:rPr>
      </w:pPr>
      <w:r>
        <w:rPr>
          <w:rFonts w:ascii="Bookman Old Style" w:hAnsi="Bookman Old Style"/>
        </w:rPr>
        <w:t>Responsabile del trattamento è il dott. Patrizio Summa.</w:t>
      </w:r>
    </w:p>
    <w:p w:rsidR="00000000" w:rsidRDefault="00D068E0">
      <w:pPr>
        <w:pStyle w:val="DefaultText"/>
        <w:jc w:val="both"/>
        <w:rPr>
          <w:rFonts w:ascii="Bookman Old Style" w:hAnsi="Bookman Old Style"/>
        </w:rPr>
      </w:pPr>
    </w:p>
    <w:p w:rsidR="00000000" w:rsidRDefault="00D068E0">
      <w:pPr>
        <w:pStyle w:val="DefaultText"/>
        <w:jc w:val="both"/>
        <w:rPr>
          <w:rFonts w:ascii="Bookman Old Style" w:hAnsi="Bookman Old Style"/>
        </w:rPr>
      </w:pPr>
      <w:r>
        <w:rPr>
          <w:rFonts w:ascii="Bookman Old Style" w:hAnsi="Bookman Old Style"/>
        </w:rPr>
        <w:tab/>
      </w:r>
      <w:r>
        <w:rPr>
          <w:rFonts w:ascii="Bookman Old Style" w:hAnsi="Bookman Old Style"/>
        </w:rPr>
        <w:tab/>
      </w:r>
    </w:p>
    <w:p w:rsidR="00000000" w:rsidRDefault="00D068E0">
      <w:pPr>
        <w:pStyle w:val="DefaultText"/>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IL DIRETTORE GENER</w:t>
      </w:r>
      <w:r>
        <w:rPr>
          <w:rFonts w:ascii="Bookman Old Style" w:hAnsi="Bookman Old Style"/>
        </w:rPr>
        <w:t>ALE</w:t>
      </w:r>
    </w:p>
    <w:p w:rsidR="00000000" w:rsidRDefault="00D068E0">
      <w:pPr>
        <w:pStyle w:val="DefaultText"/>
        <w:jc w:val="both"/>
        <w:rPr>
          <w:rFonts w:ascii="Bookman Old Style" w:hAnsi="Bookman Old Style"/>
        </w:rPr>
      </w:pPr>
      <w:r>
        <w:rPr>
          <w:rFonts w:ascii="Bookman Old Style" w:hAnsi="Bookman Old Style"/>
        </w:rPr>
        <w:t xml:space="preserve">                                                                      (Marco FRANCHINI)</w:t>
      </w:r>
    </w:p>
    <w:p w:rsidR="00000000" w:rsidRDefault="00D068E0">
      <w:pPr>
        <w:pStyle w:val="DefaultText"/>
        <w:jc w:val="both"/>
        <w:rPr>
          <w:rFonts w:ascii="Bookman Old Style" w:hAnsi="Bookman Old Style"/>
          <w:lang w:val="it-IT"/>
        </w:rPr>
      </w:pPr>
      <w:r>
        <w:rPr>
          <w:rFonts w:ascii="Bookman Old Style" w:hAnsi="Bookman Old Style"/>
        </w:rPr>
        <w:t xml:space="preserve"> </w:t>
      </w:r>
    </w:p>
    <w:sectPr w:rsidR="00000000">
      <w:footerReference w:type="even" r:id="rId7"/>
      <w:footerReference w:type="default" r:id="rId8"/>
      <w:pgSz w:w="11900" w:h="16832"/>
      <w:pgMar w:top="1417" w:right="1440" w:bottom="1134"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068E0">
      <w:r>
        <w:separator/>
      </w:r>
    </w:p>
  </w:endnote>
  <w:endnote w:type="continuationSeparator" w:id="1">
    <w:p w:rsidR="00000000" w:rsidRDefault="00D068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68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00000" w:rsidRDefault="00D068E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68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000000" w:rsidRDefault="00D068E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068E0">
      <w:r>
        <w:separator/>
      </w:r>
    </w:p>
  </w:footnote>
  <w:footnote w:type="continuationSeparator" w:id="1">
    <w:p w:rsidR="00000000" w:rsidRDefault="00D06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0226"/>
    <w:multiLevelType w:val="singleLevel"/>
    <w:tmpl w:val="04100011"/>
    <w:lvl w:ilvl="0">
      <w:start w:val="1"/>
      <w:numFmt w:val="decimal"/>
      <w:lvlText w:val="%1)"/>
      <w:lvlJc w:val="left"/>
      <w:pPr>
        <w:tabs>
          <w:tab w:val="num" w:pos="360"/>
        </w:tabs>
        <w:ind w:left="360" w:hanging="360"/>
      </w:pPr>
      <w:rPr>
        <w:rFonts w:hint="default"/>
      </w:rPr>
    </w:lvl>
  </w:abstractNum>
  <w:abstractNum w:abstractNumId="1">
    <w:nsid w:val="28EE7CD4"/>
    <w:multiLevelType w:val="singleLevel"/>
    <w:tmpl w:val="47645406"/>
    <w:lvl w:ilvl="0">
      <w:start w:val="1"/>
      <w:numFmt w:val="lowerLetter"/>
      <w:lvlText w:val="%1)"/>
      <w:lvlJc w:val="left"/>
      <w:pPr>
        <w:tabs>
          <w:tab w:val="num" w:pos="435"/>
        </w:tabs>
        <w:ind w:left="435" w:hanging="360"/>
      </w:pPr>
      <w:rPr>
        <w:rFonts w:hint="default"/>
      </w:rPr>
    </w:lvl>
  </w:abstractNum>
  <w:abstractNum w:abstractNumId="2">
    <w:nsid w:val="36ED6EBF"/>
    <w:multiLevelType w:val="singleLevel"/>
    <w:tmpl w:val="04100011"/>
    <w:lvl w:ilvl="0">
      <w:start w:val="1"/>
      <w:numFmt w:val="decimal"/>
      <w:lvlText w:val="%1)"/>
      <w:lvlJc w:val="left"/>
      <w:pPr>
        <w:tabs>
          <w:tab w:val="num" w:pos="360"/>
        </w:tabs>
        <w:ind w:left="360" w:hanging="360"/>
      </w:pPr>
      <w:rPr>
        <w:rFonts w:hint="default"/>
      </w:rPr>
    </w:lvl>
  </w:abstractNum>
  <w:abstractNum w:abstractNumId="3">
    <w:nsid w:val="4EB660A7"/>
    <w:multiLevelType w:val="singleLevel"/>
    <w:tmpl w:val="881614F2"/>
    <w:lvl w:ilvl="0">
      <w:start w:val="1"/>
      <w:numFmt w:val="lowerLetter"/>
      <w:lvlText w:val="%1)"/>
      <w:lvlJc w:val="left"/>
      <w:pPr>
        <w:tabs>
          <w:tab w:val="num" w:pos="375"/>
        </w:tabs>
        <w:ind w:left="375" w:hanging="375"/>
      </w:pPr>
      <w:rPr>
        <w:rFonts w:hint="default"/>
      </w:rPr>
    </w:lvl>
  </w:abstractNum>
  <w:abstractNum w:abstractNumId="4">
    <w:nsid w:val="7E670B39"/>
    <w:multiLevelType w:val="singleLevel"/>
    <w:tmpl w:val="88A801C2"/>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068E0"/>
    <w:rsid w:val="00D068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2">
    <w:name w:val="heading 2"/>
    <w:basedOn w:val="Normale"/>
    <w:next w:val="Normale"/>
    <w:qFormat/>
    <w:pPr>
      <w:keepNext/>
      <w:jc w:val="both"/>
      <w:outlineLvl w:val="1"/>
    </w:pPr>
    <w:rPr>
      <w:sz w:val="24"/>
      <w:lang w:val="it-IT"/>
    </w:rPr>
  </w:style>
  <w:style w:type="paragraph" w:styleId="Titolo7">
    <w:name w:val="heading 7"/>
    <w:basedOn w:val="Normale"/>
    <w:next w:val="Normale"/>
    <w:qFormat/>
    <w:pPr>
      <w:keepNext/>
      <w:tabs>
        <w:tab w:val="left" w:pos="425"/>
        <w:tab w:val="left" w:pos="708"/>
        <w:tab w:val="left" w:pos="5386"/>
      </w:tabs>
      <w:jc w:val="both"/>
      <w:outlineLvl w:val="6"/>
    </w:pPr>
    <w:rPr>
      <w:rFonts w:ascii="Arial" w:hAnsi="Arial"/>
      <w:sz w:val="24"/>
      <w:lang w:val="it-IT"/>
    </w:rPr>
  </w:style>
  <w:style w:type="paragraph" w:styleId="Titolo8">
    <w:name w:val="heading 8"/>
    <w:basedOn w:val="Normale"/>
    <w:next w:val="Normale"/>
    <w:qFormat/>
    <w:pPr>
      <w:keepNext/>
      <w:spacing w:line="360" w:lineRule="auto"/>
      <w:jc w:val="both"/>
      <w:outlineLvl w:val="7"/>
    </w:pPr>
    <w:rPr>
      <w:rFonts w:ascii="Arial" w:hAnsi="Arial"/>
      <w:b/>
      <w:sz w:val="24"/>
      <w:u w:val="single"/>
      <w:lang w:val="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
    <w:name w:val="Title"/>
    <w:basedOn w:val="Normale"/>
    <w:pPr>
      <w:spacing w:after="960"/>
      <w:jc w:val="center"/>
    </w:pPr>
    <w:rPr>
      <w:rFonts w:ascii="Arial Black" w:hAnsi="Arial Black"/>
      <w:sz w:val="48"/>
    </w:rPr>
  </w:style>
  <w:style w:type="paragraph" w:customStyle="1" w:styleId="OutlineNumbering">
    <w:name w:val="Outline Numbering"/>
    <w:basedOn w:val="Normale"/>
    <w:rPr>
      <w:sz w:val="24"/>
    </w:rPr>
  </w:style>
  <w:style w:type="paragraph" w:customStyle="1" w:styleId="Heading3">
    <w:name w:val="Heading 3"/>
    <w:basedOn w:val="Normale"/>
    <w:pPr>
      <w:spacing w:before="120" w:after="120"/>
    </w:pPr>
    <w:rPr>
      <w:b/>
      <w:sz w:val="24"/>
    </w:rPr>
  </w:style>
  <w:style w:type="paragraph" w:customStyle="1" w:styleId="Heading2">
    <w:name w:val="Heading 2"/>
    <w:basedOn w:val="Normale"/>
    <w:pPr>
      <w:spacing w:before="120" w:after="120"/>
    </w:pPr>
    <w:rPr>
      <w:rFonts w:ascii="Arial" w:hAnsi="Arial"/>
      <w:b/>
      <w:sz w:val="24"/>
    </w:rPr>
  </w:style>
  <w:style w:type="paragraph" w:customStyle="1" w:styleId="Heading1">
    <w:name w:val="Heading 1"/>
    <w:basedOn w:val="Normale"/>
    <w:pPr>
      <w:spacing w:before="280" w:after="140"/>
    </w:pPr>
    <w:rPr>
      <w:rFonts w:ascii="Arial Black" w:hAnsi="Arial Black"/>
      <w:sz w:val="28"/>
    </w:rPr>
  </w:style>
  <w:style w:type="paragraph" w:customStyle="1" w:styleId="FirstLineIndent">
    <w:name w:val="First Line Indent"/>
    <w:basedOn w:val="Normale"/>
    <w:pPr>
      <w:ind w:firstLine="720"/>
    </w:pPr>
    <w:rPr>
      <w:sz w:val="24"/>
    </w:rPr>
  </w:style>
  <w:style w:type="paragraph" w:customStyle="1" w:styleId="NumberList">
    <w:name w:val="Number List"/>
    <w:basedOn w:val="Normale"/>
    <w:rPr>
      <w:sz w:val="24"/>
    </w:rPr>
  </w:style>
  <w:style w:type="paragraph" w:customStyle="1" w:styleId="Bullet2">
    <w:name w:val="Bullet 2"/>
    <w:basedOn w:val="Normale"/>
    <w:rPr>
      <w:sz w:val="24"/>
    </w:rPr>
  </w:style>
  <w:style w:type="paragraph" w:customStyle="1" w:styleId="Bullet1">
    <w:name w:val="Bullet 1"/>
    <w:basedOn w:val="Normale"/>
    <w:rPr>
      <w:sz w:val="24"/>
    </w:rPr>
  </w:style>
  <w:style w:type="paragraph" w:customStyle="1" w:styleId="BodySingle">
    <w:name w:val="Body Single"/>
    <w:basedOn w:val="Normale"/>
    <w:rPr>
      <w:sz w:val="24"/>
    </w:rPr>
  </w:style>
  <w:style w:type="paragraph" w:customStyle="1" w:styleId="DefaultText">
    <w:name w:val="Default Text"/>
    <w:basedOn w:val="Normale"/>
    <w:rPr>
      <w:sz w:val="24"/>
    </w:rPr>
  </w:style>
  <w:style w:type="paragraph" w:styleId="Rientrocorpodeltesto">
    <w:name w:val="Body Text Indent"/>
    <w:basedOn w:val="Normale"/>
    <w:semiHidden/>
    <w:pPr>
      <w:jc w:val="both"/>
    </w:pPr>
    <w:rPr>
      <w:sz w:val="24"/>
      <w:lang w:val="it-IT"/>
    </w:rPr>
  </w:style>
  <w:style w:type="paragraph" w:styleId="Corpodeltesto">
    <w:name w:val="Body Text"/>
    <w:basedOn w:val="Normale"/>
    <w:semiHidden/>
    <w:pPr>
      <w:tabs>
        <w:tab w:val="left" w:pos="0"/>
        <w:tab w:val="left" w:pos="425"/>
        <w:tab w:val="left" w:pos="5386"/>
      </w:tabs>
      <w:ind w:right="31"/>
      <w:jc w:val="both"/>
    </w:pPr>
    <w:rPr>
      <w:rFonts w:ascii="Courier" w:hAnsi="Courier"/>
      <w:sz w:val="24"/>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customStyle="1" w:styleId="Rub3">
    <w:name w:val="Rub3"/>
    <w:basedOn w:val="Normale"/>
    <w:next w:val="Normale"/>
    <w:pPr>
      <w:tabs>
        <w:tab w:val="left" w:pos="709"/>
      </w:tabs>
      <w:jc w:val="both"/>
    </w:pPr>
    <w:rPr>
      <w:b/>
      <w:i/>
      <w:lang w:val="it-IT"/>
    </w:rPr>
  </w:style>
  <w:style w:type="paragraph" w:customStyle="1" w:styleId="BodyText2">
    <w:name w:val="Body Text 2"/>
    <w:basedOn w:val="Normale"/>
    <w:pPr>
      <w:overflowPunct w:val="0"/>
      <w:autoSpaceDE w:val="0"/>
      <w:autoSpaceDN w:val="0"/>
      <w:adjustRightInd w:val="0"/>
      <w:jc w:val="both"/>
      <w:textAlignment w:val="baseline"/>
    </w:pPr>
    <w:rPr>
      <w:sz w:val="24"/>
      <w:lang w:val="it-IT"/>
    </w:rPr>
  </w:style>
  <w:style w:type="paragraph" w:styleId="Corpodeltesto2">
    <w:name w:val="Body Text 2"/>
    <w:basedOn w:val="Normale"/>
    <w:semiHidden/>
    <w:pPr>
      <w:jc w:val="both"/>
    </w:pPr>
    <w:rPr>
      <w:rFonts w:ascii="Bookman Old Style" w:hAnsi="Bookman Old Style"/>
      <w:color w:val="FF0000"/>
      <w:sz w:val="24"/>
      <w:lang w:val="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4446</Words>
  <Characters>25344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S</vt:lpstr>
    </vt:vector>
  </TitlesOfParts>
  <Company>SEAP S.P.A.</Company>
  <LinksUpToDate>false</LinksUpToDate>
  <CharactersWithSpaces>29731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SmartMaster</dc:creator>
  <cp:lastModifiedBy>l.belsanti</cp:lastModifiedBy>
  <cp:revision>2</cp:revision>
  <cp:lastPrinted>2005-08-08T13:33:00Z</cp:lastPrinted>
  <dcterms:created xsi:type="dcterms:W3CDTF">2016-02-19T16:05:00Z</dcterms:created>
  <dcterms:modified xsi:type="dcterms:W3CDTF">2016-02-19T16:05:00Z</dcterms:modified>
</cp:coreProperties>
</file>